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CCCMcontentheading1"/>
        <w:spacing w:before="240" w:after="0"/>
        <w:jc w:val="center"/>
        <w:rPr>
          <w:sz w:val="39"/>
          <w:szCs w:val="39"/>
          <w:lang w:val="pt-BR"/>
        </w:rPr>
      </w:pPr>
      <w:bookmarkStart w:id="0" w:name="_GoBack"/>
      <w:bookmarkEnd w:id="0"/>
      <w:r>
        <w:rPr>
          <w:rFonts w:eastAsia="Calibri"/>
          <w:sz w:val="39"/>
          <w:szCs w:val="39"/>
          <w:lang w:val="pt-BR"/>
        </w:rPr>
        <w:t>LISTA DE VERIFICAÇÃO DA CM PARA RETORNO</w:t>
      </w:r>
    </w:p>
    <w:p>
      <w:pPr>
        <w:pStyle w:val="CCCMcontentheading1"/>
        <w:spacing w:before="0"/>
        <w:jc w:val="center"/>
        <w:rPr>
          <w:sz w:val="39"/>
          <w:szCs w:val="39"/>
          <w:lang w:val="pt-BR"/>
        </w:rPr>
      </w:pPr>
      <w:r>
        <w:rPr>
          <w:rFonts w:eastAsia="Calibri"/>
          <w:sz w:val="39"/>
          <w:szCs w:val="39"/>
          <w:lang w:val="pt-BR"/>
        </w:rPr>
        <w:t>ESPONTÂNEO/INTEGRAÇÃO LOCAL/REASSENTAMENTO</w:t>
      </w:r>
    </w:p>
    <w:p>
      <w:pPr>
        <w:autoSpaceDE w:val="0"/>
        <w:autoSpaceDN w:val="0"/>
        <w:adjustRightInd w:val="0"/>
        <w:jc w:val="both"/>
        <w:rPr>
          <w:color w:val="404040"/>
          <w:sz w:val="10"/>
          <w:szCs w:val="10"/>
          <w:lang w:val="pt-BR"/>
        </w:rPr>
      </w:pPr>
    </w:p>
    <w:p>
      <w:pPr>
        <w:autoSpaceDE w:val="0"/>
        <w:autoSpaceDN w:val="0"/>
        <w:adjustRightInd w:val="0"/>
        <w:jc w:val="both"/>
        <w:rPr>
          <w:color w:val="404040"/>
          <w:lang w:val="pt-BR"/>
        </w:rPr>
      </w:pPr>
      <w:r>
        <w:rPr>
          <w:color w:val="404040"/>
          <w:lang w:val="pt-BR"/>
        </w:rPr>
        <w:t xml:space="preserve">A definição de retorno </w:t>
      </w:r>
      <w:r>
        <w:rPr>
          <w:b/>
          <w:bCs/>
          <w:color w:val="404040"/>
          <w:lang w:val="pt-BR"/>
        </w:rPr>
        <w:t>espontâneo</w:t>
      </w:r>
      <w:r>
        <w:rPr>
          <w:color w:val="404040"/>
          <w:lang w:val="pt-BR"/>
        </w:rPr>
        <w:t>, integração local ou reassentamento descreve uma situação em que os refugiados retornam voluntariamente às suas áreas de origem, integram-se à comunidade local ou mudam-se para outras áreas sem assistência ou persuasão de agências externas.</w:t>
      </w:r>
    </w:p>
    <w:p>
      <w:pPr>
        <w:autoSpaceDE w:val="0"/>
        <w:autoSpaceDN w:val="0"/>
        <w:adjustRightInd w:val="0"/>
        <w:jc w:val="both"/>
        <w:rPr>
          <w:color w:val="404040"/>
          <w:lang w:val="pt-BR"/>
        </w:rPr>
      </w:pPr>
    </w:p>
    <w:p>
      <w:pPr>
        <w:autoSpaceDE w:val="0"/>
        <w:autoSpaceDN w:val="0"/>
        <w:adjustRightInd w:val="0"/>
        <w:jc w:val="both"/>
        <w:rPr>
          <w:color w:val="404040"/>
          <w:lang w:val="pt-BR"/>
        </w:rPr>
      </w:pPr>
      <w:r>
        <w:rPr>
          <w:color w:val="404040"/>
          <w:lang w:val="pt-BR"/>
        </w:rPr>
        <w:t xml:space="preserve">O retorno espontâneo/integração local/reassentamento pode ser desencadeado por mudanças nas áreas domésticas ou nas áreas de deslocamento. </w:t>
      </w:r>
    </w:p>
    <w:p>
      <w:pPr>
        <w:autoSpaceDE w:val="0"/>
        <w:autoSpaceDN w:val="0"/>
        <w:adjustRightInd w:val="0"/>
        <w:jc w:val="both"/>
        <w:rPr>
          <w:color w:val="404040"/>
          <w:lang w:val="pt-BR"/>
        </w:rPr>
      </w:pPr>
    </w:p>
    <w:p>
      <w:pPr>
        <w:autoSpaceDE w:val="0"/>
        <w:autoSpaceDN w:val="0"/>
        <w:adjustRightInd w:val="0"/>
        <w:jc w:val="both"/>
        <w:rPr>
          <w:color w:val="404040"/>
          <w:lang w:val="pt-BR"/>
        </w:rPr>
      </w:pPr>
      <w:r>
        <w:rPr>
          <w:color w:val="404040"/>
          <w:lang w:val="pt-BR"/>
        </w:rPr>
        <w:t>As responsabilidades da agência de CM [</w:t>
      </w:r>
      <w:r>
        <w:rPr>
          <w:i/>
          <w:iCs/>
          <w:color w:val="404040"/>
          <w:lang w:val="pt-BR"/>
        </w:rPr>
        <w:t>Camp Management</w:t>
      </w:r>
      <w:r>
        <w:rPr>
          <w:color w:val="404040"/>
          <w:lang w:val="pt-BR"/>
        </w:rPr>
        <w:t xml:space="preserve"> (Gestão de acampamentos)] constam na lista de verificação abaixo. Mas é importante atentar-se ao fato de que, devido à natureza não planejada de tal situação espontânea, a agência de CM nem sempre conta com o financiamento, os recursos e a capacidade disponíveis para cumprir com essas responsabilidades no momento. Assim, a agência de CM deve visar à implementação de todas as tarefas abaixo o máximo possível: </w:t>
      </w:r>
    </w:p>
    <w:p>
      <w:pPr>
        <w:autoSpaceDE w:val="0"/>
        <w:autoSpaceDN w:val="0"/>
        <w:adjustRightInd w:val="0"/>
        <w:jc w:val="both"/>
        <w:rPr>
          <w:color w:val="404040"/>
          <w:lang w:val="pt-BR"/>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4426"/>
        <w:gridCol w:w="817"/>
        <w:gridCol w:w="815"/>
      </w:tblGrid>
      <w:tr>
        <w:trPr>
          <w:trHeight w:val="188"/>
        </w:trPr>
        <w:tc>
          <w:tcPr>
            <w:tcW w:w="3332" w:type="dxa"/>
            <w:shd w:val="clear" w:color="auto" w:fill="DAEEF3"/>
          </w:tcPr>
          <w:p>
            <w:pPr>
              <w:spacing w:before="120"/>
              <w:jc w:val="center"/>
              <w:rPr>
                <w:b/>
                <w:color w:val="404040"/>
              </w:rPr>
            </w:pPr>
            <w:r>
              <w:rPr>
                <w:b/>
                <w:bCs/>
                <w:color w:val="404040"/>
                <w:lang w:val="pt-BR"/>
              </w:rPr>
              <w:t>Responsabilidade da CM</w:t>
            </w:r>
          </w:p>
        </w:tc>
        <w:tc>
          <w:tcPr>
            <w:tcW w:w="4426" w:type="dxa"/>
            <w:shd w:val="clear" w:color="auto" w:fill="DAEEF3"/>
          </w:tcPr>
          <w:p>
            <w:pPr>
              <w:spacing w:before="120"/>
              <w:jc w:val="center"/>
              <w:rPr>
                <w:b/>
                <w:color w:val="404040"/>
              </w:rPr>
            </w:pPr>
            <w:r>
              <w:rPr>
                <w:b/>
                <w:bCs/>
                <w:color w:val="404040"/>
                <w:lang w:val="pt-BR"/>
              </w:rPr>
              <w:t>Detalhes</w:t>
            </w:r>
          </w:p>
        </w:tc>
        <w:tc>
          <w:tcPr>
            <w:tcW w:w="817" w:type="dxa"/>
            <w:shd w:val="clear" w:color="auto" w:fill="DAEEF3"/>
          </w:tcPr>
          <w:p>
            <w:pPr>
              <w:spacing w:before="120"/>
              <w:jc w:val="center"/>
              <w:rPr>
                <w:b/>
                <w:color w:val="404040"/>
              </w:rPr>
            </w:pPr>
            <w:r>
              <w:rPr>
                <w:b/>
                <w:bCs/>
                <w:color w:val="404040"/>
                <w:lang w:val="pt-BR"/>
              </w:rPr>
              <w:t>Sim</w:t>
            </w:r>
          </w:p>
        </w:tc>
        <w:tc>
          <w:tcPr>
            <w:tcW w:w="815" w:type="dxa"/>
            <w:shd w:val="clear" w:color="auto" w:fill="DAEEF3"/>
          </w:tcPr>
          <w:p>
            <w:pPr>
              <w:spacing w:before="120"/>
              <w:jc w:val="center"/>
              <w:rPr>
                <w:b/>
                <w:color w:val="404040"/>
              </w:rPr>
            </w:pPr>
            <w:r>
              <w:rPr>
                <w:b/>
                <w:bCs/>
                <w:color w:val="404040"/>
                <w:lang w:val="pt-BR"/>
              </w:rPr>
              <w:t>Não</w:t>
            </w:r>
          </w:p>
        </w:tc>
      </w:tr>
      <w:tr>
        <w:trPr>
          <w:trHeight w:val="819"/>
        </w:trPr>
        <w:tc>
          <w:tcPr>
            <w:tcW w:w="3332" w:type="dxa"/>
          </w:tcPr>
          <w:p>
            <w:pPr>
              <w:rPr>
                <w:color w:val="404040"/>
                <w:lang w:val="pt-BR"/>
              </w:rPr>
            </w:pPr>
            <w:r>
              <w:rPr>
                <w:color w:val="404040"/>
                <w:lang w:val="pt-BR"/>
              </w:rPr>
              <w:t xml:space="preserve">Identificar motivações para deixar o acampamento. </w:t>
            </w:r>
          </w:p>
        </w:tc>
        <w:tc>
          <w:tcPr>
            <w:tcW w:w="4426" w:type="dxa"/>
          </w:tcPr>
          <w:p>
            <w:pPr>
              <w:rPr>
                <w:color w:val="404040"/>
                <w:lang w:val="pt-BR"/>
              </w:rPr>
            </w:pPr>
            <w:r>
              <w:rPr>
                <w:color w:val="404040"/>
                <w:lang w:val="pt-BR"/>
              </w:rPr>
              <w:t>Isso pode destacar outras questões, como motivações políticas ou militares ou aumento de tensões no acampamento. Condições gerais como recursos e serviços insuficientes também podem forçar as pessoas a sair.</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952"/>
        </w:trPr>
        <w:tc>
          <w:tcPr>
            <w:tcW w:w="3332" w:type="dxa"/>
          </w:tcPr>
          <w:p>
            <w:pPr>
              <w:rPr>
                <w:color w:val="404040"/>
                <w:lang w:val="pt-BR"/>
              </w:rPr>
            </w:pPr>
            <w:r>
              <w:rPr>
                <w:color w:val="404040"/>
                <w:lang w:val="pt-BR"/>
              </w:rPr>
              <w:t>Cancelar o registro, transferir ou destruir dados pessoais dos refugiados.</w:t>
            </w:r>
          </w:p>
        </w:tc>
        <w:tc>
          <w:tcPr>
            <w:tcW w:w="4426" w:type="dxa"/>
          </w:tcPr>
          <w:p>
            <w:pPr>
              <w:rPr>
                <w:color w:val="404040"/>
                <w:lang w:val="pt-BR"/>
              </w:rPr>
            </w:pPr>
            <w:r>
              <w:rPr>
                <w:color w:val="404040"/>
                <w:lang w:val="pt-BR"/>
              </w:rPr>
              <w:t xml:space="preserve">Como parte do processo de cancelamento de registro, os dados pessoais devem ser transferidos, se possível, para as agências de proteção relevantes no novo local, ou, se não for possível, destruídos. Se forem transferidos, é fundamental que este processo respeite os princípios de confidencialidade. </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546"/>
        </w:trPr>
        <w:tc>
          <w:tcPr>
            <w:tcW w:w="3332" w:type="dxa"/>
          </w:tcPr>
          <w:p>
            <w:pPr>
              <w:rPr>
                <w:color w:val="404040"/>
                <w:lang w:val="pt-BR"/>
              </w:rPr>
            </w:pPr>
            <w:r>
              <w:rPr>
                <w:color w:val="404040"/>
                <w:lang w:val="pt-BR"/>
              </w:rPr>
              <w:t xml:space="preserve">Identificar e abordar ou indicar pessoas e grupos com necessidades específicas </w:t>
            </w:r>
          </w:p>
        </w:tc>
        <w:tc>
          <w:tcPr>
            <w:tcW w:w="4426" w:type="dxa"/>
          </w:tcPr>
          <w:p>
            <w:pPr>
              <w:rPr>
                <w:color w:val="404040"/>
                <w:lang w:val="pt-BR"/>
              </w:rPr>
            </w:pPr>
            <w:r>
              <w:rPr>
                <w:color w:val="404040"/>
                <w:lang w:val="pt-BR"/>
              </w:rPr>
              <w:t>Por exemplo, menores desacompanhados, idosos, pessoas com deficiência ou doentes. Identificar a acomodação segura em nova área, se possível e necessário.</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546"/>
        </w:trPr>
        <w:tc>
          <w:tcPr>
            <w:tcW w:w="3332" w:type="dxa"/>
          </w:tcPr>
          <w:p>
            <w:pPr>
              <w:rPr>
                <w:color w:val="404040"/>
                <w:lang w:val="pt-BR"/>
              </w:rPr>
            </w:pPr>
            <w:r>
              <w:rPr>
                <w:color w:val="404040"/>
                <w:lang w:val="pt-BR"/>
              </w:rPr>
              <w:lastRenderedPageBreak/>
              <w:t xml:space="preserve">Notificar todas as partes interessadas do acampamento </w:t>
            </w:r>
          </w:p>
        </w:tc>
        <w:tc>
          <w:tcPr>
            <w:tcW w:w="4426" w:type="dxa"/>
          </w:tcPr>
          <w:p>
            <w:pPr>
              <w:rPr>
                <w:color w:val="404040"/>
                <w:lang w:val="pt-BR"/>
              </w:rPr>
            </w:pPr>
            <w:r>
              <w:rPr>
                <w:color w:val="404040"/>
                <w:lang w:val="pt-BR"/>
              </w:rPr>
              <w:t xml:space="preserve">O coordenador do acampamento, o administrador do acampamento e os prestadores de serviços devem ser informados sobre as mudanças na população do acampamento, a nova situação e sobre quaisquer novas necessidades que as mudanças possam fazer surgir. </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66"/>
        </w:trPr>
        <w:tc>
          <w:tcPr>
            <w:tcW w:w="3332" w:type="dxa"/>
          </w:tcPr>
          <w:p>
            <w:pPr>
              <w:rPr>
                <w:color w:val="404040"/>
                <w:lang w:val="pt-BR"/>
              </w:rPr>
            </w:pPr>
            <w:r>
              <w:rPr>
                <w:color w:val="404040"/>
                <w:lang w:val="pt-BR"/>
              </w:rPr>
              <w:t xml:space="preserve">Encerrar/modificar contratos de serviço </w:t>
            </w:r>
          </w:p>
        </w:tc>
        <w:tc>
          <w:tcPr>
            <w:tcW w:w="4426" w:type="dxa"/>
          </w:tcPr>
          <w:p>
            <w:pPr>
              <w:rPr>
                <w:color w:val="404040"/>
                <w:lang w:val="pt-BR"/>
              </w:rPr>
            </w:pPr>
            <w:r>
              <w:rPr>
                <w:color w:val="404040"/>
                <w:lang w:val="pt-BR"/>
              </w:rPr>
              <w:t xml:space="preserve">Especialmente para prestadores de serviços, incluindo a revisão de acordos para entrega e descomissionamento de ativos do acampamento. </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66"/>
        </w:trPr>
        <w:tc>
          <w:tcPr>
            <w:tcW w:w="3332" w:type="dxa"/>
          </w:tcPr>
          <w:p>
            <w:pPr>
              <w:rPr>
                <w:color w:val="404040"/>
                <w:lang w:val="pt-BR"/>
              </w:rPr>
            </w:pPr>
            <w:r>
              <w:rPr>
                <w:color w:val="404040"/>
                <w:lang w:val="pt-BR"/>
              </w:rPr>
              <w:t xml:space="preserve">Organizar o descarte de resíduos para garantir a saída digna do local </w:t>
            </w:r>
          </w:p>
        </w:tc>
        <w:tc>
          <w:tcPr>
            <w:tcW w:w="4426" w:type="dxa"/>
          </w:tcPr>
          <w:p>
            <w:pPr>
              <w:rPr>
                <w:color w:val="404040"/>
                <w:lang w:val="pt-BR"/>
              </w:rPr>
            </w:pPr>
            <w:r>
              <w:rPr>
                <w:color w:val="404040"/>
                <w:lang w:val="pt-BR"/>
              </w:rPr>
              <w:t>Uma grande quantidade de lixo é deixada para trás quando as pessoas saem de um acampamento, carregando apenas seus bens mais importantes consigo. É importante que as pessoas que saem e a comunidade anfitriã garantam que os resíduos sejam descartados adequadamente.</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66"/>
        </w:trPr>
        <w:tc>
          <w:tcPr>
            <w:tcW w:w="3332" w:type="dxa"/>
          </w:tcPr>
          <w:p>
            <w:pPr>
              <w:rPr>
                <w:color w:val="404040"/>
                <w:lang w:val="pt-BR"/>
              </w:rPr>
            </w:pPr>
            <w:r>
              <w:rPr>
                <w:color w:val="404040"/>
                <w:lang w:val="pt-BR"/>
              </w:rPr>
              <w:t xml:space="preserve">Organizar e fornecer transporte, se possível e necessário </w:t>
            </w:r>
          </w:p>
        </w:tc>
        <w:tc>
          <w:tcPr>
            <w:tcW w:w="4426" w:type="dxa"/>
          </w:tcPr>
          <w:p>
            <w:pPr>
              <w:rPr>
                <w:color w:val="404040"/>
                <w:lang w:val="pt-BR"/>
              </w:rPr>
            </w:pPr>
            <w:r>
              <w:rPr>
                <w:color w:val="404040"/>
                <w:lang w:val="pt-BR"/>
              </w:rPr>
              <w:t xml:space="preserve">Pessoas deslocadas têm o direito a auxílio no transporte como parte de suas soluções duráveis. Se a sua agência ou agências parceiras tiverem a capacidade, e houver uma necessidade, esse transporte deve ser fornecido. </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66"/>
        </w:trPr>
        <w:tc>
          <w:tcPr>
            <w:tcW w:w="3332" w:type="dxa"/>
          </w:tcPr>
          <w:p>
            <w:pPr>
              <w:rPr>
                <w:color w:val="404040"/>
                <w:lang w:val="pt-BR"/>
              </w:rPr>
            </w:pPr>
            <w:r>
              <w:rPr>
                <w:color w:val="404040"/>
                <w:lang w:val="pt-BR"/>
              </w:rPr>
              <w:t>Acompanhar e monitorar a população em seus novos locais</w:t>
            </w:r>
          </w:p>
        </w:tc>
        <w:tc>
          <w:tcPr>
            <w:tcW w:w="4426" w:type="dxa"/>
          </w:tcPr>
          <w:p>
            <w:pPr>
              <w:rPr>
                <w:color w:val="404040"/>
                <w:lang w:val="pt-BR"/>
              </w:rPr>
            </w:pPr>
            <w:r>
              <w:rPr>
                <w:color w:val="404040"/>
                <w:lang w:val="pt-BR"/>
              </w:rPr>
              <w:t>Se possível, isso ajudaria a garantir acesso contínuo à proteção e aos serviços, bem como facilitar encaminhamentos para agências relevantes.</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r>
        <w:trPr>
          <w:trHeight w:val="406"/>
        </w:trPr>
        <w:tc>
          <w:tcPr>
            <w:tcW w:w="3332" w:type="dxa"/>
          </w:tcPr>
          <w:p>
            <w:pPr>
              <w:rPr>
                <w:color w:val="404040"/>
                <w:lang w:val="pt-BR"/>
              </w:rPr>
            </w:pPr>
            <w:r>
              <w:rPr>
                <w:color w:val="404040"/>
                <w:lang w:val="pt-BR"/>
              </w:rPr>
              <w:t>Defesa contínua para a população de acampamentos anteriores</w:t>
            </w:r>
          </w:p>
        </w:tc>
        <w:tc>
          <w:tcPr>
            <w:tcW w:w="4426" w:type="dxa"/>
          </w:tcPr>
          <w:p>
            <w:pPr>
              <w:rPr>
                <w:color w:val="404040"/>
                <w:lang w:val="pt-BR"/>
              </w:rPr>
            </w:pPr>
            <w:r>
              <w:rPr>
                <w:color w:val="404040"/>
                <w:lang w:val="pt-BR"/>
              </w:rPr>
              <w:t xml:space="preserve">Para acesso contínuo à proteção e aos serviços e para garantir que os princípios de soluções duráveis sejam seguidos. </w:t>
            </w:r>
          </w:p>
          <w:p>
            <w:pPr>
              <w:rPr>
                <w:color w:val="404040"/>
                <w:lang w:val="pt-BR"/>
              </w:rPr>
            </w:pPr>
          </w:p>
        </w:tc>
        <w:tc>
          <w:tcPr>
            <w:tcW w:w="817" w:type="dxa"/>
          </w:tcPr>
          <w:p>
            <w:pPr>
              <w:jc w:val="both"/>
              <w:rPr>
                <w:color w:val="404040"/>
                <w:lang w:val="pt-BR"/>
              </w:rPr>
            </w:pPr>
          </w:p>
        </w:tc>
        <w:tc>
          <w:tcPr>
            <w:tcW w:w="815" w:type="dxa"/>
          </w:tcPr>
          <w:p>
            <w:pPr>
              <w:jc w:val="both"/>
              <w:rPr>
                <w:color w:val="404040"/>
                <w:lang w:val="pt-BR"/>
              </w:rPr>
            </w:pPr>
          </w:p>
        </w:tc>
      </w:tr>
    </w:tbl>
    <w:p>
      <w:pPr>
        <w:jc w:val="both"/>
        <w:rPr>
          <w:color w:val="404040"/>
          <w:lang w:val="pt-BR"/>
        </w:rPr>
      </w:pPr>
    </w:p>
    <w:p>
      <w:pPr>
        <w:jc w:val="both"/>
        <w:rPr>
          <w:color w:val="404040"/>
          <w:lang w:val="pt-BR"/>
        </w:rPr>
      </w:pPr>
    </w:p>
    <w:p>
      <w:pPr>
        <w:rPr>
          <w:rFonts w:asciiTheme="minorHAnsi" w:hAnsiTheme="minorHAnsi"/>
          <w:lang w:val="pt-BR"/>
        </w:rPr>
      </w:pPr>
    </w:p>
    <w:p>
      <w:pPr>
        <w:rPr>
          <w:rFonts w:asciiTheme="minorHAnsi" w:hAnsiTheme="minorHAnsi"/>
          <w:lang w:val="pt-BR"/>
        </w:rPr>
      </w:pPr>
    </w:p>
    <w:sectPr>
      <w:footerReference w:type="default" r:id="rId11"/>
      <w:headerReference w:type="first" r:id="rId12"/>
      <w:footerReference w:type="first" r:id="rId13"/>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jc w:val="both"/>
      <w:rPr>
        <w:color w:val="2A87C8"/>
        <w:sz w:val="18"/>
      </w:rPr>
    </w:pPr>
  </w:p>
  <w:p>
    <w:pPr>
      <w:pStyle w:val="Footer"/>
      <w:jc w:val="both"/>
      <w:rPr>
        <w:color w:val="2A87C8"/>
        <w:sz w:val="18"/>
        <w:lang w:val="pt-BR"/>
      </w:rPr>
    </w:pPr>
    <w:r>
      <w:rPr>
        <w:color w:val="2A87C8"/>
        <w:sz w:val="18"/>
        <w:szCs w:val="18"/>
        <w:lang w:val="pt-BR"/>
      </w:rPr>
      <w:t>Treinamento da CCCM</w:t>
    </w:r>
    <w:r>
      <w:rPr>
        <w:color w:val="2A87C8"/>
        <w:sz w:val="18"/>
        <w:szCs w:val="18"/>
        <w:lang w:val="pt-BR"/>
      </w:rPr>
      <w:tab/>
      <w:t xml:space="preserve">Anexo 12.4 – Lista de verificação de fechamento de acampamento </w:t>
    </w:r>
    <w:r>
      <w:rPr>
        <w:color w:val="2A87C8"/>
        <w:sz w:val="18"/>
        <w:szCs w:val="18"/>
        <w:lang w:val="pt-BR"/>
      </w:rPr>
      <w:tab/>
      <w:t xml:space="preserve">www.globalcccmcluster.com </w:t>
    </w:r>
  </w:p>
  <w:p>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Pr>
            <w:color w:val="2A87C8"/>
            <w:sz w:val="18"/>
          </w:rPr>
          <w:t xml:space="preserve"> </w:t>
        </w:r>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2</w:t>
        </w:r>
        <w:r>
          <w:rPr>
            <w:noProof/>
            <w:color w:val="000000" w:themeColor="text1"/>
            <w:sz w:val="22"/>
          </w:rPr>
          <w:fldChar w:fldCharType="end"/>
        </w:r>
      </w:sdtContent>
    </w:sdt>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jc w:val="both"/>
      <w:rPr>
        <w:color w:val="2A87C8"/>
        <w:sz w:val="18"/>
      </w:rPr>
    </w:pPr>
  </w:p>
  <w:p>
    <w:pPr>
      <w:pStyle w:val="Footer"/>
      <w:jc w:val="both"/>
      <w:rPr>
        <w:color w:val="2A87C8"/>
        <w:sz w:val="18"/>
        <w:lang w:val="pt-BR"/>
      </w:rPr>
    </w:pPr>
    <w:r>
      <w:rPr>
        <w:color w:val="2A87C8"/>
        <w:sz w:val="18"/>
        <w:szCs w:val="18"/>
        <w:lang w:val="pt-BR"/>
      </w:rPr>
      <w:t>Treinamento da CCCM</w:t>
    </w:r>
    <w:r>
      <w:rPr>
        <w:color w:val="2A87C8"/>
        <w:sz w:val="18"/>
        <w:szCs w:val="18"/>
        <w:lang w:val="pt-BR"/>
      </w:rPr>
      <w:tab/>
      <w:t xml:space="preserve">Anexo 12.4 – Lista de verificação de fechamento de acampamento </w:t>
    </w:r>
    <w:r>
      <w:rPr>
        <w:color w:val="2A87C8"/>
        <w:sz w:val="18"/>
        <w:szCs w:val="18"/>
        <w:lang w:val="pt-BR"/>
      </w:rPr>
      <w:tab/>
      <w:t xml:space="preserve">www.globalcccmcluster.com </w:t>
    </w:r>
  </w:p>
  <w:p>
    <w:pPr>
      <w:pStyle w:val="Footer"/>
      <w:jc w:val="right"/>
      <w:rPr>
        <w:color w:val="000000" w:themeColor="text1"/>
        <w:sz w:val="22"/>
      </w:rPr>
    </w:pPr>
    <w:sdt>
      <w:sdtPr>
        <w:rPr>
          <w:color w:val="2A87C8"/>
          <w:sz w:val="18"/>
        </w:rPr>
        <w:id w:val="-1207327376"/>
        <w:docPartObj>
          <w:docPartGallery w:val="Page Numbers (Bottom of Page)"/>
          <w:docPartUnique/>
        </w:docPartObj>
      </w:sdtPr>
      <w:sdtEndPr>
        <w:rPr>
          <w:noProof/>
          <w:color w:val="000000" w:themeColor="text1"/>
          <w:sz w:val="22"/>
        </w:rPr>
      </w:sdtEndPr>
      <w:sdtContent>
        <w:r>
          <w:rPr>
            <w:color w:val="2A87C8"/>
            <w:sz w:val="18"/>
          </w:rPr>
          <w:t xml:space="preserve"> </w:t>
        </w:r>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1</w:t>
        </w:r>
        <w:r>
          <w:rPr>
            <w:noProof/>
            <w:color w:val="000000" w:themeColor="text1"/>
            <w:sz w:val="22"/>
          </w:rPr>
          <w:fldChar w:fldCharType="end"/>
        </w:r>
      </w:sdtContent>
    </w:sdt>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rFonts w:asciiTheme="minorHAnsi" w:hAnsiTheme="minorHAnsi" w:cs="Calibri"/>
        <w:b/>
        <w:color w:val="2A87C8"/>
        <w:sz w:val="36"/>
        <w:szCs w:val="36"/>
        <w:lang w:val="pt-BR"/>
      </w:rPr>
    </w:pPr>
    <w:r>
      <w:rPr>
        <w:rFonts w:ascii="Cambria" w:hAnsi="Cambria"/>
        <w:noProof/>
        <w:color w:val="2A87C8"/>
        <w:sz w:val="32"/>
        <w:lang w:eastAsia="zh-TW"/>
      </w:rPr>
      <w:drawing>
        <wp:anchor distT="0" distB="0" distL="114300" distR="114300" simplePos="0" relativeHeight="251658240" behindDoc="1" locked="0" layoutInCell="1" allowOverlap="1">
          <wp:simplePos x="0" y="0"/>
          <wp:positionH relativeFrom="page">
            <wp:posOffset>912495</wp:posOffset>
          </wp:positionH>
          <wp:positionV relativeFrom="page">
            <wp:posOffset>572770</wp:posOffset>
          </wp:positionV>
          <wp:extent cx="5944870" cy="763905"/>
          <wp:effectExtent l="19050" t="0" r="0" b="0"/>
          <wp:wrapThrough wrapText="bothSides">
            <wp:wrapPolygon edited="0">
              <wp:start x="18065" y="0"/>
              <wp:lineTo x="16958" y="0"/>
              <wp:lineTo x="16612" y="2155"/>
              <wp:lineTo x="16612" y="8618"/>
              <wp:lineTo x="-69" y="12928"/>
              <wp:lineTo x="-69" y="14544"/>
              <wp:lineTo x="16543" y="17237"/>
              <wp:lineTo x="16543" y="21007"/>
              <wp:lineTo x="20280" y="21007"/>
              <wp:lineTo x="20280" y="17237"/>
              <wp:lineTo x="21595" y="14544"/>
              <wp:lineTo x="21595" y="12928"/>
              <wp:lineTo x="20280" y="7541"/>
              <wp:lineTo x="20211" y="3771"/>
              <wp:lineTo x="19934" y="0"/>
              <wp:lineTo x="18065" y="0"/>
            </wp:wrapPolygon>
          </wp:wrapThrough>
          <wp:docPr id="1" name="Picture 1" descr="Papel timbrado da CCCM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724237"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44870" cy="763905"/>
                  </a:xfrm>
                  <a:prstGeom prst="rect">
                    <a:avLst/>
                  </a:prstGeom>
                  <a:noFill/>
                  <a:ln>
                    <a:noFill/>
                  </a:ln>
                </pic:spPr>
              </pic:pic>
            </a:graphicData>
          </a:graphic>
        </wp:anchor>
      </w:drawing>
    </w:r>
    <w:r>
      <w:rPr>
        <w:rFonts w:cs="Calibri"/>
        <w:b/>
        <w:bCs/>
        <w:color w:val="2A87C8"/>
        <w:sz w:val="36"/>
        <w:szCs w:val="36"/>
        <w:lang w:val="pt-BR"/>
      </w:rPr>
      <w:t>LISTA DE VERIFICAÇÃO DE FECHAMENTO</w:t>
    </w:r>
    <w:r>
      <w:rPr>
        <w:rFonts w:cs="Calibri"/>
        <w:b/>
        <w:bCs/>
        <w:color w:val="2A87C8"/>
        <w:sz w:val="36"/>
        <w:szCs w:val="36"/>
        <w:lang w:val="pt-BR"/>
      </w:rPr>
      <w:br/>
      <w:t>DO ACAMPAMENTO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nsid w:val="0E227195"/>
    <w:multiLevelType w:val="hybridMultilevel"/>
    <w:tmpl w:val="781ADBEC"/>
    <w:lvl w:ilvl="0" w:tplc="F540390A">
      <w:start w:val="1"/>
      <w:numFmt w:val="bullet"/>
      <w:pStyle w:val="CCCMbulletpoint"/>
      <w:lvlText w:val=""/>
      <w:lvlJc w:val="left"/>
      <w:pPr>
        <w:ind w:left="720" w:hanging="360"/>
      </w:pPr>
      <w:rPr>
        <w:rFonts w:ascii="Symbol" w:hAnsi="Symbol" w:hint="default"/>
      </w:rPr>
    </w:lvl>
    <w:lvl w:ilvl="1" w:tplc="8A788056" w:tentative="1">
      <w:start w:val="1"/>
      <w:numFmt w:val="bullet"/>
      <w:lvlText w:val="o"/>
      <w:lvlJc w:val="left"/>
      <w:pPr>
        <w:ind w:left="1440" w:hanging="360"/>
      </w:pPr>
      <w:rPr>
        <w:rFonts w:ascii="Courier New" w:hAnsi="Courier New" w:cs="Courier New" w:hint="default"/>
      </w:rPr>
    </w:lvl>
    <w:lvl w:ilvl="2" w:tplc="C892FF70" w:tentative="1">
      <w:start w:val="1"/>
      <w:numFmt w:val="bullet"/>
      <w:lvlText w:val=""/>
      <w:lvlJc w:val="left"/>
      <w:pPr>
        <w:ind w:left="2160" w:hanging="360"/>
      </w:pPr>
      <w:rPr>
        <w:rFonts w:ascii="Wingdings" w:hAnsi="Wingdings" w:hint="default"/>
      </w:rPr>
    </w:lvl>
    <w:lvl w:ilvl="3" w:tplc="0394BBCE" w:tentative="1">
      <w:start w:val="1"/>
      <w:numFmt w:val="bullet"/>
      <w:lvlText w:val=""/>
      <w:lvlJc w:val="left"/>
      <w:pPr>
        <w:ind w:left="2880" w:hanging="360"/>
      </w:pPr>
      <w:rPr>
        <w:rFonts w:ascii="Symbol" w:hAnsi="Symbol" w:hint="default"/>
      </w:rPr>
    </w:lvl>
    <w:lvl w:ilvl="4" w:tplc="6CF43E60" w:tentative="1">
      <w:start w:val="1"/>
      <w:numFmt w:val="bullet"/>
      <w:lvlText w:val="o"/>
      <w:lvlJc w:val="left"/>
      <w:pPr>
        <w:ind w:left="3600" w:hanging="360"/>
      </w:pPr>
      <w:rPr>
        <w:rFonts w:ascii="Courier New" w:hAnsi="Courier New" w:cs="Courier New" w:hint="default"/>
      </w:rPr>
    </w:lvl>
    <w:lvl w:ilvl="5" w:tplc="77C05ACC" w:tentative="1">
      <w:start w:val="1"/>
      <w:numFmt w:val="bullet"/>
      <w:lvlText w:val=""/>
      <w:lvlJc w:val="left"/>
      <w:pPr>
        <w:ind w:left="4320" w:hanging="360"/>
      </w:pPr>
      <w:rPr>
        <w:rFonts w:ascii="Wingdings" w:hAnsi="Wingdings" w:hint="default"/>
      </w:rPr>
    </w:lvl>
    <w:lvl w:ilvl="6" w:tplc="B9126BD6" w:tentative="1">
      <w:start w:val="1"/>
      <w:numFmt w:val="bullet"/>
      <w:lvlText w:val=""/>
      <w:lvlJc w:val="left"/>
      <w:pPr>
        <w:ind w:left="5040" w:hanging="360"/>
      </w:pPr>
      <w:rPr>
        <w:rFonts w:ascii="Symbol" w:hAnsi="Symbol" w:hint="default"/>
      </w:rPr>
    </w:lvl>
    <w:lvl w:ilvl="7" w:tplc="60087FCC" w:tentative="1">
      <w:start w:val="1"/>
      <w:numFmt w:val="bullet"/>
      <w:lvlText w:val="o"/>
      <w:lvlJc w:val="left"/>
      <w:pPr>
        <w:ind w:left="5760" w:hanging="360"/>
      </w:pPr>
      <w:rPr>
        <w:rFonts w:ascii="Courier New" w:hAnsi="Courier New" w:cs="Courier New" w:hint="default"/>
      </w:rPr>
    </w:lvl>
    <w:lvl w:ilvl="8" w:tplc="3F2E4636" w:tentative="1">
      <w:start w:val="1"/>
      <w:numFmt w:val="bullet"/>
      <w:lvlText w:val=""/>
      <w:lvlJc w:val="left"/>
      <w:pPr>
        <w:ind w:left="6480" w:hanging="360"/>
      </w:pPr>
      <w:rPr>
        <w:rFonts w:ascii="Wingdings" w:hAnsi="Wingdings" w:hint="default"/>
      </w:rPr>
    </w:lvl>
  </w:abstractNum>
  <w:abstractNum w:abstractNumId="4">
    <w:nsid w:val="146E76F9"/>
    <w:multiLevelType w:val="hybridMultilevel"/>
    <w:tmpl w:val="8E109F68"/>
    <w:lvl w:ilvl="0" w:tplc="5EE630D0">
      <w:start w:val="1"/>
      <w:numFmt w:val="bullet"/>
      <w:lvlText w:val=""/>
      <w:lvlJc w:val="left"/>
      <w:pPr>
        <w:ind w:left="720" w:hanging="360"/>
      </w:pPr>
      <w:rPr>
        <w:rFonts w:ascii="Symbol" w:hAnsi="Symbol" w:hint="default"/>
      </w:rPr>
    </w:lvl>
    <w:lvl w:ilvl="1" w:tplc="29AC072C" w:tentative="1">
      <w:start w:val="1"/>
      <w:numFmt w:val="bullet"/>
      <w:lvlText w:val="o"/>
      <w:lvlJc w:val="left"/>
      <w:pPr>
        <w:ind w:left="1440" w:hanging="360"/>
      </w:pPr>
      <w:rPr>
        <w:rFonts w:ascii="Courier New" w:hAnsi="Courier New" w:cs="Courier New" w:hint="default"/>
      </w:rPr>
    </w:lvl>
    <w:lvl w:ilvl="2" w:tplc="66E601BE" w:tentative="1">
      <w:start w:val="1"/>
      <w:numFmt w:val="bullet"/>
      <w:lvlText w:val=""/>
      <w:lvlJc w:val="left"/>
      <w:pPr>
        <w:ind w:left="2160" w:hanging="360"/>
      </w:pPr>
      <w:rPr>
        <w:rFonts w:ascii="Wingdings" w:hAnsi="Wingdings" w:hint="default"/>
      </w:rPr>
    </w:lvl>
    <w:lvl w:ilvl="3" w:tplc="57085C22" w:tentative="1">
      <w:start w:val="1"/>
      <w:numFmt w:val="bullet"/>
      <w:lvlText w:val=""/>
      <w:lvlJc w:val="left"/>
      <w:pPr>
        <w:ind w:left="2880" w:hanging="360"/>
      </w:pPr>
      <w:rPr>
        <w:rFonts w:ascii="Symbol" w:hAnsi="Symbol" w:hint="default"/>
      </w:rPr>
    </w:lvl>
    <w:lvl w:ilvl="4" w:tplc="0A08328C" w:tentative="1">
      <w:start w:val="1"/>
      <w:numFmt w:val="bullet"/>
      <w:lvlText w:val="o"/>
      <w:lvlJc w:val="left"/>
      <w:pPr>
        <w:ind w:left="3600" w:hanging="360"/>
      </w:pPr>
      <w:rPr>
        <w:rFonts w:ascii="Courier New" w:hAnsi="Courier New" w:cs="Courier New" w:hint="default"/>
      </w:rPr>
    </w:lvl>
    <w:lvl w:ilvl="5" w:tplc="AB52FD44" w:tentative="1">
      <w:start w:val="1"/>
      <w:numFmt w:val="bullet"/>
      <w:lvlText w:val=""/>
      <w:lvlJc w:val="left"/>
      <w:pPr>
        <w:ind w:left="4320" w:hanging="360"/>
      </w:pPr>
      <w:rPr>
        <w:rFonts w:ascii="Wingdings" w:hAnsi="Wingdings" w:hint="default"/>
      </w:rPr>
    </w:lvl>
    <w:lvl w:ilvl="6" w:tplc="C026F494" w:tentative="1">
      <w:start w:val="1"/>
      <w:numFmt w:val="bullet"/>
      <w:lvlText w:val=""/>
      <w:lvlJc w:val="left"/>
      <w:pPr>
        <w:ind w:left="5040" w:hanging="360"/>
      </w:pPr>
      <w:rPr>
        <w:rFonts w:ascii="Symbol" w:hAnsi="Symbol" w:hint="default"/>
      </w:rPr>
    </w:lvl>
    <w:lvl w:ilvl="7" w:tplc="7722BE86" w:tentative="1">
      <w:start w:val="1"/>
      <w:numFmt w:val="bullet"/>
      <w:lvlText w:val="o"/>
      <w:lvlJc w:val="left"/>
      <w:pPr>
        <w:ind w:left="5760" w:hanging="360"/>
      </w:pPr>
      <w:rPr>
        <w:rFonts w:ascii="Courier New" w:hAnsi="Courier New" w:cs="Courier New" w:hint="default"/>
      </w:rPr>
    </w:lvl>
    <w:lvl w:ilvl="8" w:tplc="974CDB88" w:tentative="1">
      <w:start w:val="1"/>
      <w:numFmt w:val="bullet"/>
      <w:lvlText w:val=""/>
      <w:lvlJc w:val="left"/>
      <w:pPr>
        <w:ind w:left="6480" w:hanging="360"/>
      </w:pPr>
      <w:rPr>
        <w:rFonts w:ascii="Wingdings" w:hAnsi="Wingdings" w:hint="default"/>
      </w:rPr>
    </w:lvl>
  </w:abstractNum>
  <w:abstractNum w:abstractNumId="5">
    <w:nsid w:val="201A3074"/>
    <w:multiLevelType w:val="hybridMultilevel"/>
    <w:tmpl w:val="0F3A75A6"/>
    <w:lvl w:ilvl="0" w:tplc="F6748B6A">
      <w:start w:val="1"/>
      <w:numFmt w:val="bullet"/>
      <w:lvlText w:val=""/>
      <w:lvlJc w:val="left"/>
      <w:pPr>
        <w:ind w:left="720" w:hanging="360"/>
      </w:pPr>
      <w:rPr>
        <w:rFonts w:ascii="Symbol" w:hAnsi="Symbol" w:hint="default"/>
      </w:rPr>
    </w:lvl>
    <w:lvl w:ilvl="1" w:tplc="F9BAFDD8" w:tentative="1">
      <w:start w:val="1"/>
      <w:numFmt w:val="lowerLetter"/>
      <w:lvlText w:val="%2."/>
      <w:lvlJc w:val="left"/>
      <w:pPr>
        <w:ind w:left="1440" w:hanging="360"/>
      </w:pPr>
    </w:lvl>
    <w:lvl w:ilvl="2" w:tplc="CA084930" w:tentative="1">
      <w:start w:val="1"/>
      <w:numFmt w:val="lowerRoman"/>
      <w:lvlText w:val="%3."/>
      <w:lvlJc w:val="right"/>
      <w:pPr>
        <w:ind w:left="2160" w:hanging="180"/>
      </w:pPr>
    </w:lvl>
    <w:lvl w:ilvl="3" w:tplc="3612A5F6" w:tentative="1">
      <w:start w:val="1"/>
      <w:numFmt w:val="decimal"/>
      <w:lvlText w:val="%4."/>
      <w:lvlJc w:val="left"/>
      <w:pPr>
        <w:ind w:left="2880" w:hanging="360"/>
      </w:pPr>
    </w:lvl>
    <w:lvl w:ilvl="4" w:tplc="74E050A8" w:tentative="1">
      <w:start w:val="1"/>
      <w:numFmt w:val="lowerLetter"/>
      <w:lvlText w:val="%5."/>
      <w:lvlJc w:val="left"/>
      <w:pPr>
        <w:ind w:left="3600" w:hanging="360"/>
      </w:pPr>
    </w:lvl>
    <w:lvl w:ilvl="5" w:tplc="C6D6782A" w:tentative="1">
      <w:start w:val="1"/>
      <w:numFmt w:val="lowerRoman"/>
      <w:lvlText w:val="%6."/>
      <w:lvlJc w:val="right"/>
      <w:pPr>
        <w:ind w:left="4320" w:hanging="180"/>
      </w:pPr>
    </w:lvl>
    <w:lvl w:ilvl="6" w:tplc="60DC703A" w:tentative="1">
      <w:start w:val="1"/>
      <w:numFmt w:val="decimal"/>
      <w:lvlText w:val="%7."/>
      <w:lvlJc w:val="left"/>
      <w:pPr>
        <w:ind w:left="5040" w:hanging="360"/>
      </w:pPr>
    </w:lvl>
    <w:lvl w:ilvl="7" w:tplc="E18C4860" w:tentative="1">
      <w:start w:val="1"/>
      <w:numFmt w:val="lowerLetter"/>
      <w:lvlText w:val="%8."/>
      <w:lvlJc w:val="left"/>
      <w:pPr>
        <w:ind w:left="5760" w:hanging="360"/>
      </w:pPr>
    </w:lvl>
    <w:lvl w:ilvl="8" w:tplc="F8DC9F2E" w:tentative="1">
      <w:start w:val="1"/>
      <w:numFmt w:val="lowerRoman"/>
      <w:lvlText w:val="%9."/>
      <w:lvlJc w:val="right"/>
      <w:pPr>
        <w:ind w:left="6480" w:hanging="180"/>
      </w:pPr>
    </w:lvl>
  </w:abstractNum>
  <w:abstractNum w:abstractNumId="6">
    <w:nsid w:val="234D7F47"/>
    <w:multiLevelType w:val="hybridMultilevel"/>
    <w:tmpl w:val="912CD0A4"/>
    <w:lvl w:ilvl="0" w:tplc="7D6C3522">
      <w:start w:val="35"/>
      <w:numFmt w:val="bullet"/>
      <w:lvlText w:val="-"/>
      <w:lvlJc w:val="left"/>
      <w:pPr>
        <w:ind w:left="720" w:hanging="360"/>
      </w:pPr>
      <w:rPr>
        <w:rFonts w:ascii="Calibri" w:eastAsia="Calibri" w:hAnsi="Calibri" w:cs="Calibri" w:hint="default"/>
      </w:rPr>
    </w:lvl>
    <w:lvl w:ilvl="1" w:tplc="E67E1002" w:tentative="1">
      <w:start w:val="1"/>
      <w:numFmt w:val="bullet"/>
      <w:lvlText w:val="o"/>
      <w:lvlJc w:val="left"/>
      <w:pPr>
        <w:ind w:left="1440" w:hanging="360"/>
      </w:pPr>
      <w:rPr>
        <w:rFonts w:ascii="Courier New" w:hAnsi="Courier New" w:cs="Courier New" w:hint="default"/>
      </w:rPr>
    </w:lvl>
    <w:lvl w:ilvl="2" w:tplc="72640674" w:tentative="1">
      <w:start w:val="1"/>
      <w:numFmt w:val="bullet"/>
      <w:lvlText w:val=""/>
      <w:lvlJc w:val="left"/>
      <w:pPr>
        <w:ind w:left="2160" w:hanging="360"/>
      </w:pPr>
      <w:rPr>
        <w:rFonts w:ascii="Wingdings" w:hAnsi="Wingdings" w:hint="default"/>
      </w:rPr>
    </w:lvl>
    <w:lvl w:ilvl="3" w:tplc="D618F81E" w:tentative="1">
      <w:start w:val="1"/>
      <w:numFmt w:val="bullet"/>
      <w:lvlText w:val=""/>
      <w:lvlJc w:val="left"/>
      <w:pPr>
        <w:ind w:left="2880" w:hanging="360"/>
      </w:pPr>
      <w:rPr>
        <w:rFonts w:ascii="Symbol" w:hAnsi="Symbol" w:hint="default"/>
      </w:rPr>
    </w:lvl>
    <w:lvl w:ilvl="4" w:tplc="5F1C35CE" w:tentative="1">
      <w:start w:val="1"/>
      <w:numFmt w:val="bullet"/>
      <w:lvlText w:val="o"/>
      <w:lvlJc w:val="left"/>
      <w:pPr>
        <w:ind w:left="3600" w:hanging="360"/>
      </w:pPr>
      <w:rPr>
        <w:rFonts w:ascii="Courier New" w:hAnsi="Courier New" w:cs="Courier New" w:hint="default"/>
      </w:rPr>
    </w:lvl>
    <w:lvl w:ilvl="5" w:tplc="727C599C" w:tentative="1">
      <w:start w:val="1"/>
      <w:numFmt w:val="bullet"/>
      <w:lvlText w:val=""/>
      <w:lvlJc w:val="left"/>
      <w:pPr>
        <w:ind w:left="4320" w:hanging="360"/>
      </w:pPr>
      <w:rPr>
        <w:rFonts w:ascii="Wingdings" w:hAnsi="Wingdings" w:hint="default"/>
      </w:rPr>
    </w:lvl>
    <w:lvl w:ilvl="6" w:tplc="42842D18" w:tentative="1">
      <w:start w:val="1"/>
      <w:numFmt w:val="bullet"/>
      <w:lvlText w:val=""/>
      <w:lvlJc w:val="left"/>
      <w:pPr>
        <w:ind w:left="5040" w:hanging="360"/>
      </w:pPr>
      <w:rPr>
        <w:rFonts w:ascii="Symbol" w:hAnsi="Symbol" w:hint="default"/>
      </w:rPr>
    </w:lvl>
    <w:lvl w:ilvl="7" w:tplc="5372B3AA" w:tentative="1">
      <w:start w:val="1"/>
      <w:numFmt w:val="bullet"/>
      <w:lvlText w:val="o"/>
      <w:lvlJc w:val="left"/>
      <w:pPr>
        <w:ind w:left="5760" w:hanging="360"/>
      </w:pPr>
      <w:rPr>
        <w:rFonts w:ascii="Courier New" w:hAnsi="Courier New" w:cs="Courier New" w:hint="default"/>
      </w:rPr>
    </w:lvl>
    <w:lvl w:ilvl="8" w:tplc="F5545E0A" w:tentative="1">
      <w:start w:val="1"/>
      <w:numFmt w:val="bullet"/>
      <w:lvlText w:val=""/>
      <w:lvlJc w:val="left"/>
      <w:pPr>
        <w:ind w:left="6480" w:hanging="360"/>
      </w:pPr>
      <w:rPr>
        <w:rFonts w:ascii="Wingdings" w:hAnsi="Wingdings" w:hint="default"/>
      </w:rPr>
    </w:lvl>
  </w:abstractNum>
  <w:abstractNum w:abstractNumId="7">
    <w:nsid w:val="2E9420E2"/>
    <w:multiLevelType w:val="hybridMultilevel"/>
    <w:tmpl w:val="55A04418"/>
    <w:lvl w:ilvl="0" w:tplc="F2985F88">
      <w:start w:val="1"/>
      <w:numFmt w:val="bullet"/>
      <w:lvlText w:val=""/>
      <w:lvlJc w:val="left"/>
      <w:pPr>
        <w:ind w:left="720" w:hanging="360"/>
      </w:pPr>
      <w:rPr>
        <w:rFonts w:ascii="Symbol" w:hAnsi="Symbol" w:hint="default"/>
      </w:rPr>
    </w:lvl>
    <w:lvl w:ilvl="1" w:tplc="57D033CE" w:tentative="1">
      <w:start w:val="1"/>
      <w:numFmt w:val="lowerLetter"/>
      <w:lvlText w:val="%2."/>
      <w:lvlJc w:val="left"/>
      <w:pPr>
        <w:ind w:left="1440" w:hanging="360"/>
      </w:pPr>
    </w:lvl>
    <w:lvl w:ilvl="2" w:tplc="E7AAE474" w:tentative="1">
      <w:start w:val="1"/>
      <w:numFmt w:val="lowerRoman"/>
      <w:lvlText w:val="%3."/>
      <w:lvlJc w:val="right"/>
      <w:pPr>
        <w:ind w:left="2160" w:hanging="180"/>
      </w:pPr>
    </w:lvl>
    <w:lvl w:ilvl="3" w:tplc="C3485624" w:tentative="1">
      <w:start w:val="1"/>
      <w:numFmt w:val="decimal"/>
      <w:lvlText w:val="%4."/>
      <w:lvlJc w:val="left"/>
      <w:pPr>
        <w:ind w:left="2880" w:hanging="360"/>
      </w:pPr>
    </w:lvl>
    <w:lvl w:ilvl="4" w:tplc="FB50D1C8" w:tentative="1">
      <w:start w:val="1"/>
      <w:numFmt w:val="lowerLetter"/>
      <w:lvlText w:val="%5."/>
      <w:lvlJc w:val="left"/>
      <w:pPr>
        <w:ind w:left="3600" w:hanging="360"/>
      </w:pPr>
    </w:lvl>
    <w:lvl w:ilvl="5" w:tplc="8394596C" w:tentative="1">
      <w:start w:val="1"/>
      <w:numFmt w:val="lowerRoman"/>
      <w:lvlText w:val="%6."/>
      <w:lvlJc w:val="right"/>
      <w:pPr>
        <w:ind w:left="4320" w:hanging="180"/>
      </w:pPr>
    </w:lvl>
    <w:lvl w:ilvl="6" w:tplc="DF7655C6" w:tentative="1">
      <w:start w:val="1"/>
      <w:numFmt w:val="decimal"/>
      <w:lvlText w:val="%7."/>
      <w:lvlJc w:val="left"/>
      <w:pPr>
        <w:ind w:left="5040" w:hanging="360"/>
      </w:pPr>
    </w:lvl>
    <w:lvl w:ilvl="7" w:tplc="F9B8BC10" w:tentative="1">
      <w:start w:val="1"/>
      <w:numFmt w:val="lowerLetter"/>
      <w:lvlText w:val="%8."/>
      <w:lvlJc w:val="left"/>
      <w:pPr>
        <w:ind w:left="5760" w:hanging="360"/>
      </w:pPr>
    </w:lvl>
    <w:lvl w:ilvl="8" w:tplc="25F0F2BA" w:tentative="1">
      <w:start w:val="1"/>
      <w:numFmt w:val="lowerRoman"/>
      <w:lvlText w:val="%9."/>
      <w:lvlJc w:val="right"/>
      <w:pPr>
        <w:ind w:left="6480" w:hanging="180"/>
      </w:pPr>
    </w:lvl>
  </w:abstractNum>
  <w:abstractNum w:abstractNumId="8">
    <w:nsid w:val="3ECC5C92"/>
    <w:multiLevelType w:val="hybridMultilevel"/>
    <w:tmpl w:val="27B259EC"/>
    <w:lvl w:ilvl="0" w:tplc="D3B8BFAE">
      <w:start w:val="1"/>
      <w:numFmt w:val="bullet"/>
      <w:lvlText w:val=""/>
      <w:lvlJc w:val="left"/>
      <w:pPr>
        <w:ind w:left="720" w:hanging="360"/>
      </w:pPr>
      <w:rPr>
        <w:rFonts w:ascii="Symbol" w:hAnsi="Symbol" w:hint="default"/>
      </w:rPr>
    </w:lvl>
    <w:lvl w:ilvl="1" w:tplc="117291CC" w:tentative="1">
      <w:start w:val="1"/>
      <w:numFmt w:val="bullet"/>
      <w:lvlText w:val="o"/>
      <w:lvlJc w:val="left"/>
      <w:pPr>
        <w:ind w:left="1440" w:hanging="360"/>
      </w:pPr>
      <w:rPr>
        <w:rFonts w:ascii="Courier New" w:hAnsi="Courier New" w:cs="Courier New" w:hint="default"/>
      </w:rPr>
    </w:lvl>
    <w:lvl w:ilvl="2" w:tplc="CE2C1A48" w:tentative="1">
      <w:start w:val="1"/>
      <w:numFmt w:val="bullet"/>
      <w:lvlText w:val=""/>
      <w:lvlJc w:val="left"/>
      <w:pPr>
        <w:ind w:left="2160" w:hanging="360"/>
      </w:pPr>
      <w:rPr>
        <w:rFonts w:ascii="Wingdings" w:hAnsi="Wingdings" w:hint="default"/>
      </w:rPr>
    </w:lvl>
    <w:lvl w:ilvl="3" w:tplc="B8DA27E4" w:tentative="1">
      <w:start w:val="1"/>
      <w:numFmt w:val="bullet"/>
      <w:lvlText w:val=""/>
      <w:lvlJc w:val="left"/>
      <w:pPr>
        <w:ind w:left="2880" w:hanging="360"/>
      </w:pPr>
      <w:rPr>
        <w:rFonts w:ascii="Symbol" w:hAnsi="Symbol" w:hint="default"/>
      </w:rPr>
    </w:lvl>
    <w:lvl w:ilvl="4" w:tplc="BE46095C" w:tentative="1">
      <w:start w:val="1"/>
      <w:numFmt w:val="bullet"/>
      <w:lvlText w:val="o"/>
      <w:lvlJc w:val="left"/>
      <w:pPr>
        <w:ind w:left="3600" w:hanging="360"/>
      </w:pPr>
      <w:rPr>
        <w:rFonts w:ascii="Courier New" w:hAnsi="Courier New" w:cs="Courier New" w:hint="default"/>
      </w:rPr>
    </w:lvl>
    <w:lvl w:ilvl="5" w:tplc="87E4D594" w:tentative="1">
      <w:start w:val="1"/>
      <w:numFmt w:val="bullet"/>
      <w:lvlText w:val=""/>
      <w:lvlJc w:val="left"/>
      <w:pPr>
        <w:ind w:left="4320" w:hanging="360"/>
      </w:pPr>
      <w:rPr>
        <w:rFonts w:ascii="Wingdings" w:hAnsi="Wingdings" w:hint="default"/>
      </w:rPr>
    </w:lvl>
    <w:lvl w:ilvl="6" w:tplc="1988C554" w:tentative="1">
      <w:start w:val="1"/>
      <w:numFmt w:val="bullet"/>
      <w:lvlText w:val=""/>
      <w:lvlJc w:val="left"/>
      <w:pPr>
        <w:ind w:left="5040" w:hanging="360"/>
      </w:pPr>
      <w:rPr>
        <w:rFonts w:ascii="Symbol" w:hAnsi="Symbol" w:hint="default"/>
      </w:rPr>
    </w:lvl>
    <w:lvl w:ilvl="7" w:tplc="C2BE6A66" w:tentative="1">
      <w:start w:val="1"/>
      <w:numFmt w:val="bullet"/>
      <w:lvlText w:val="o"/>
      <w:lvlJc w:val="left"/>
      <w:pPr>
        <w:ind w:left="5760" w:hanging="360"/>
      </w:pPr>
      <w:rPr>
        <w:rFonts w:ascii="Courier New" w:hAnsi="Courier New" w:cs="Courier New" w:hint="default"/>
      </w:rPr>
    </w:lvl>
    <w:lvl w:ilvl="8" w:tplc="2672596E" w:tentative="1">
      <w:start w:val="1"/>
      <w:numFmt w:val="bullet"/>
      <w:lvlText w:val=""/>
      <w:lvlJc w:val="left"/>
      <w:pPr>
        <w:ind w:left="6480" w:hanging="360"/>
      </w:pPr>
      <w:rPr>
        <w:rFonts w:ascii="Wingdings" w:hAnsi="Wingdings" w:hint="default"/>
      </w:rPr>
    </w:lvl>
  </w:abstractNum>
  <w:abstractNum w:abstractNumId="9">
    <w:nsid w:val="4EC532A6"/>
    <w:multiLevelType w:val="hybridMultilevel"/>
    <w:tmpl w:val="B1B0633E"/>
    <w:lvl w:ilvl="0" w:tplc="4DAC4668">
      <w:start w:val="1"/>
      <w:numFmt w:val="decimal"/>
      <w:lvlText w:val="%1."/>
      <w:lvlJc w:val="left"/>
      <w:pPr>
        <w:ind w:left="720" w:hanging="360"/>
      </w:pPr>
      <w:rPr>
        <w:rFonts w:cs="Calibri" w:hint="default"/>
        <w:b/>
        <w:color w:val="000000"/>
      </w:rPr>
    </w:lvl>
    <w:lvl w:ilvl="1" w:tplc="769A675C" w:tentative="1">
      <w:start w:val="1"/>
      <w:numFmt w:val="lowerLetter"/>
      <w:lvlText w:val="%2."/>
      <w:lvlJc w:val="left"/>
      <w:pPr>
        <w:ind w:left="1440" w:hanging="360"/>
      </w:pPr>
    </w:lvl>
    <w:lvl w:ilvl="2" w:tplc="D43A5FB2" w:tentative="1">
      <w:start w:val="1"/>
      <w:numFmt w:val="lowerRoman"/>
      <w:lvlText w:val="%3."/>
      <w:lvlJc w:val="right"/>
      <w:pPr>
        <w:ind w:left="2160" w:hanging="180"/>
      </w:pPr>
    </w:lvl>
    <w:lvl w:ilvl="3" w:tplc="97A04660" w:tentative="1">
      <w:start w:val="1"/>
      <w:numFmt w:val="decimal"/>
      <w:lvlText w:val="%4."/>
      <w:lvlJc w:val="left"/>
      <w:pPr>
        <w:ind w:left="2880" w:hanging="360"/>
      </w:pPr>
    </w:lvl>
    <w:lvl w:ilvl="4" w:tplc="5BC279B8" w:tentative="1">
      <w:start w:val="1"/>
      <w:numFmt w:val="lowerLetter"/>
      <w:lvlText w:val="%5."/>
      <w:lvlJc w:val="left"/>
      <w:pPr>
        <w:ind w:left="3600" w:hanging="360"/>
      </w:pPr>
    </w:lvl>
    <w:lvl w:ilvl="5" w:tplc="1B6EC6E4" w:tentative="1">
      <w:start w:val="1"/>
      <w:numFmt w:val="lowerRoman"/>
      <w:lvlText w:val="%6."/>
      <w:lvlJc w:val="right"/>
      <w:pPr>
        <w:ind w:left="4320" w:hanging="180"/>
      </w:pPr>
    </w:lvl>
    <w:lvl w:ilvl="6" w:tplc="BADE5896" w:tentative="1">
      <w:start w:val="1"/>
      <w:numFmt w:val="decimal"/>
      <w:lvlText w:val="%7."/>
      <w:lvlJc w:val="left"/>
      <w:pPr>
        <w:ind w:left="5040" w:hanging="360"/>
      </w:pPr>
    </w:lvl>
    <w:lvl w:ilvl="7" w:tplc="EFFAE162" w:tentative="1">
      <w:start w:val="1"/>
      <w:numFmt w:val="lowerLetter"/>
      <w:lvlText w:val="%8."/>
      <w:lvlJc w:val="left"/>
      <w:pPr>
        <w:ind w:left="5760" w:hanging="360"/>
      </w:pPr>
    </w:lvl>
    <w:lvl w:ilvl="8" w:tplc="F9189A5C" w:tentative="1">
      <w:start w:val="1"/>
      <w:numFmt w:val="lowerRoman"/>
      <w:lvlText w:val="%9."/>
      <w:lvlJc w:val="right"/>
      <w:pPr>
        <w:ind w:left="6480" w:hanging="180"/>
      </w:pPr>
    </w:lvl>
  </w:abstractNum>
  <w:abstractNum w:abstractNumId="10">
    <w:nsid w:val="5D623459"/>
    <w:multiLevelType w:val="hybridMultilevel"/>
    <w:tmpl w:val="92845490"/>
    <w:lvl w:ilvl="0" w:tplc="A756FD24">
      <w:start w:val="1"/>
      <w:numFmt w:val="decimal"/>
      <w:lvlText w:val="%1."/>
      <w:lvlJc w:val="left"/>
      <w:pPr>
        <w:ind w:left="720" w:hanging="360"/>
      </w:pPr>
      <w:rPr>
        <w:rFonts w:cs="Calibri" w:hint="default"/>
        <w:b/>
        <w:color w:val="000000"/>
      </w:rPr>
    </w:lvl>
    <w:lvl w:ilvl="1" w:tplc="F68CECD8" w:tentative="1">
      <w:start w:val="1"/>
      <w:numFmt w:val="lowerLetter"/>
      <w:lvlText w:val="%2."/>
      <w:lvlJc w:val="left"/>
      <w:pPr>
        <w:ind w:left="1440" w:hanging="360"/>
      </w:pPr>
    </w:lvl>
    <w:lvl w:ilvl="2" w:tplc="D932E974" w:tentative="1">
      <w:start w:val="1"/>
      <w:numFmt w:val="lowerRoman"/>
      <w:lvlText w:val="%3."/>
      <w:lvlJc w:val="right"/>
      <w:pPr>
        <w:ind w:left="2160" w:hanging="180"/>
      </w:pPr>
    </w:lvl>
    <w:lvl w:ilvl="3" w:tplc="C2F83276" w:tentative="1">
      <w:start w:val="1"/>
      <w:numFmt w:val="decimal"/>
      <w:lvlText w:val="%4."/>
      <w:lvlJc w:val="left"/>
      <w:pPr>
        <w:ind w:left="2880" w:hanging="360"/>
      </w:pPr>
    </w:lvl>
    <w:lvl w:ilvl="4" w:tplc="235AABB4" w:tentative="1">
      <w:start w:val="1"/>
      <w:numFmt w:val="lowerLetter"/>
      <w:lvlText w:val="%5."/>
      <w:lvlJc w:val="left"/>
      <w:pPr>
        <w:ind w:left="3600" w:hanging="360"/>
      </w:pPr>
    </w:lvl>
    <w:lvl w:ilvl="5" w:tplc="CBCCD792" w:tentative="1">
      <w:start w:val="1"/>
      <w:numFmt w:val="lowerRoman"/>
      <w:lvlText w:val="%6."/>
      <w:lvlJc w:val="right"/>
      <w:pPr>
        <w:ind w:left="4320" w:hanging="180"/>
      </w:pPr>
    </w:lvl>
    <w:lvl w:ilvl="6" w:tplc="7A58FD2A" w:tentative="1">
      <w:start w:val="1"/>
      <w:numFmt w:val="decimal"/>
      <w:lvlText w:val="%7."/>
      <w:lvlJc w:val="left"/>
      <w:pPr>
        <w:ind w:left="5040" w:hanging="360"/>
      </w:pPr>
    </w:lvl>
    <w:lvl w:ilvl="7" w:tplc="E0245BE4" w:tentative="1">
      <w:start w:val="1"/>
      <w:numFmt w:val="lowerLetter"/>
      <w:lvlText w:val="%8."/>
      <w:lvlJc w:val="left"/>
      <w:pPr>
        <w:ind w:left="5760" w:hanging="360"/>
      </w:pPr>
    </w:lvl>
    <w:lvl w:ilvl="8" w:tplc="B96036AE" w:tentative="1">
      <w:start w:val="1"/>
      <w:numFmt w:val="lowerRoman"/>
      <w:lvlText w:val="%9."/>
      <w:lvlJc w:val="right"/>
      <w:pPr>
        <w:ind w:left="6480" w:hanging="180"/>
      </w:pPr>
    </w:lvl>
  </w:abstractNum>
  <w:abstractNum w:abstractNumId="11">
    <w:nsid w:val="694723E1"/>
    <w:multiLevelType w:val="hybridMultilevel"/>
    <w:tmpl w:val="596AC7CA"/>
    <w:lvl w:ilvl="0" w:tplc="543044EA">
      <w:start w:val="1"/>
      <w:numFmt w:val="bullet"/>
      <w:lvlText w:val=""/>
      <w:lvlJc w:val="left"/>
      <w:pPr>
        <w:ind w:left="720" w:hanging="360"/>
      </w:pPr>
      <w:rPr>
        <w:rFonts w:ascii="Symbol" w:hAnsi="Symbol" w:hint="default"/>
      </w:rPr>
    </w:lvl>
    <w:lvl w:ilvl="1" w:tplc="28B0370E" w:tentative="1">
      <w:start w:val="1"/>
      <w:numFmt w:val="lowerLetter"/>
      <w:lvlText w:val="%2."/>
      <w:lvlJc w:val="left"/>
      <w:pPr>
        <w:ind w:left="1440" w:hanging="360"/>
      </w:pPr>
    </w:lvl>
    <w:lvl w:ilvl="2" w:tplc="8AE2A140" w:tentative="1">
      <w:start w:val="1"/>
      <w:numFmt w:val="lowerRoman"/>
      <w:lvlText w:val="%3."/>
      <w:lvlJc w:val="right"/>
      <w:pPr>
        <w:ind w:left="2160" w:hanging="180"/>
      </w:pPr>
    </w:lvl>
    <w:lvl w:ilvl="3" w:tplc="A948D970" w:tentative="1">
      <w:start w:val="1"/>
      <w:numFmt w:val="decimal"/>
      <w:lvlText w:val="%4."/>
      <w:lvlJc w:val="left"/>
      <w:pPr>
        <w:ind w:left="2880" w:hanging="360"/>
      </w:pPr>
    </w:lvl>
    <w:lvl w:ilvl="4" w:tplc="2E54B660" w:tentative="1">
      <w:start w:val="1"/>
      <w:numFmt w:val="lowerLetter"/>
      <w:lvlText w:val="%5."/>
      <w:lvlJc w:val="left"/>
      <w:pPr>
        <w:ind w:left="3600" w:hanging="360"/>
      </w:pPr>
    </w:lvl>
    <w:lvl w:ilvl="5" w:tplc="218A0756" w:tentative="1">
      <w:start w:val="1"/>
      <w:numFmt w:val="lowerRoman"/>
      <w:lvlText w:val="%6."/>
      <w:lvlJc w:val="right"/>
      <w:pPr>
        <w:ind w:left="4320" w:hanging="180"/>
      </w:pPr>
    </w:lvl>
    <w:lvl w:ilvl="6" w:tplc="E2101948" w:tentative="1">
      <w:start w:val="1"/>
      <w:numFmt w:val="decimal"/>
      <w:lvlText w:val="%7."/>
      <w:lvlJc w:val="left"/>
      <w:pPr>
        <w:ind w:left="5040" w:hanging="360"/>
      </w:pPr>
    </w:lvl>
    <w:lvl w:ilvl="7" w:tplc="33244908" w:tentative="1">
      <w:start w:val="1"/>
      <w:numFmt w:val="lowerLetter"/>
      <w:lvlText w:val="%8."/>
      <w:lvlJc w:val="left"/>
      <w:pPr>
        <w:ind w:left="5760" w:hanging="360"/>
      </w:pPr>
    </w:lvl>
    <w:lvl w:ilvl="8" w:tplc="2BE670C6" w:tentative="1">
      <w:start w:val="1"/>
      <w:numFmt w:val="lowerRoman"/>
      <w:lvlText w:val="%9."/>
      <w:lvlJc w:val="right"/>
      <w:pPr>
        <w:ind w:left="6480" w:hanging="180"/>
      </w:pPr>
    </w:lvl>
  </w:abstractNum>
  <w:abstractNum w:abstractNumId="12">
    <w:nsid w:val="6C513CB7"/>
    <w:multiLevelType w:val="hybridMultilevel"/>
    <w:tmpl w:val="EE0830A2"/>
    <w:lvl w:ilvl="0" w:tplc="54E68D70">
      <w:start w:val="1"/>
      <w:numFmt w:val="bullet"/>
      <w:lvlText w:val=""/>
      <w:lvlJc w:val="left"/>
      <w:pPr>
        <w:ind w:left="720" w:hanging="360"/>
      </w:pPr>
      <w:rPr>
        <w:rFonts w:ascii="Symbol" w:hAnsi="Symbol" w:hint="default"/>
      </w:rPr>
    </w:lvl>
    <w:lvl w:ilvl="1" w:tplc="9B824D2A" w:tentative="1">
      <w:start w:val="1"/>
      <w:numFmt w:val="lowerLetter"/>
      <w:lvlText w:val="%2."/>
      <w:lvlJc w:val="left"/>
      <w:pPr>
        <w:ind w:left="1440" w:hanging="360"/>
      </w:pPr>
    </w:lvl>
    <w:lvl w:ilvl="2" w:tplc="C9623AF6" w:tentative="1">
      <w:start w:val="1"/>
      <w:numFmt w:val="lowerRoman"/>
      <w:lvlText w:val="%3."/>
      <w:lvlJc w:val="right"/>
      <w:pPr>
        <w:ind w:left="2160" w:hanging="180"/>
      </w:pPr>
    </w:lvl>
    <w:lvl w:ilvl="3" w:tplc="67CED3FC" w:tentative="1">
      <w:start w:val="1"/>
      <w:numFmt w:val="decimal"/>
      <w:lvlText w:val="%4."/>
      <w:lvlJc w:val="left"/>
      <w:pPr>
        <w:ind w:left="2880" w:hanging="360"/>
      </w:pPr>
    </w:lvl>
    <w:lvl w:ilvl="4" w:tplc="173E06C6" w:tentative="1">
      <w:start w:val="1"/>
      <w:numFmt w:val="lowerLetter"/>
      <w:lvlText w:val="%5."/>
      <w:lvlJc w:val="left"/>
      <w:pPr>
        <w:ind w:left="3600" w:hanging="360"/>
      </w:pPr>
    </w:lvl>
    <w:lvl w:ilvl="5" w:tplc="12966194" w:tentative="1">
      <w:start w:val="1"/>
      <w:numFmt w:val="lowerRoman"/>
      <w:lvlText w:val="%6."/>
      <w:lvlJc w:val="right"/>
      <w:pPr>
        <w:ind w:left="4320" w:hanging="180"/>
      </w:pPr>
    </w:lvl>
    <w:lvl w:ilvl="6" w:tplc="F42010FE" w:tentative="1">
      <w:start w:val="1"/>
      <w:numFmt w:val="decimal"/>
      <w:lvlText w:val="%7."/>
      <w:lvlJc w:val="left"/>
      <w:pPr>
        <w:ind w:left="5040" w:hanging="360"/>
      </w:pPr>
    </w:lvl>
    <w:lvl w:ilvl="7" w:tplc="514646B8" w:tentative="1">
      <w:start w:val="1"/>
      <w:numFmt w:val="lowerLetter"/>
      <w:lvlText w:val="%8."/>
      <w:lvlJc w:val="left"/>
      <w:pPr>
        <w:ind w:left="5760" w:hanging="360"/>
      </w:pPr>
    </w:lvl>
    <w:lvl w:ilvl="8" w:tplc="5B647B2E" w:tentative="1">
      <w:start w:val="1"/>
      <w:numFmt w:val="lowerRoman"/>
      <w:lvlText w:val="%9."/>
      <w:lvlJc w:val="right"/>
      <w:pPr>
        <w:ind w:left="6480" w:hanging="180"/>
      </w:pPr>
    </w:lvl>
  </w:abstractNum>
  <w:abstractNum w:abstractNumId="13">
    <w:nsid w:val="765E520C"/>
    <w:multiLevelType w:val="hybridMultilevel"/>
    <w:tmpl w:val="9EFE19D8"/>
    <w:lvl w:ilvl="0" w:tplc="8ED054CC">
      <w:start w:val="1"/>
      <w:numFmt w:val="bullet"/>
      <w:lvlText w:val=""/>
      <w:lvlJc w:val="left"/>
      <w:pPr>
        <w:ind w:left="720" w:hanging="360"/>
      </w:pPr>
      <w:rPr>
        <w:rFonts w:ascii="Symbol" w:hAnsi="Symbol" w:hint="default"/>
      </w:rPr>
    </w:lvl>
    <w:lvl w:ilvl="1" w:tplc="7DF21EC4" w:tentative="1">
      <w:start w:val="1"/>
      <w:numFmt w:val="lowerLetter"/>
      <w:lvlText w:val="%2."/>
      <w:lvlJc w:val="left"/>
      <w:pPr>
        <w:ind w:left="1440" w:hanging="360"/>
      </w:pPr>
    </w:lvl>
    <w:lvl w:ilvl="2" w:tplc="A7FE3050" w:tentative="1">
      <w:start w:val="1"/>
      <w:numFmt w:val="lowerRoman"/>
      <w:lvlText w:val="%3."/>
      <w:lvlJc w:val="right"/>
      <w:pPr>
        <w:ind w:left="2160" w:hanging="180"/>
      </w:pPr>
    </w:lvl>
    <w:lvl w:ilvl="3" w:tplc="B6A2E26A" w:tentative="1">
      <w:start w:val="1"/>
      <w:numFmt w:val="decimal"/>
      <w:lvlText w:val="%4."/>
      <w:lvlJc w:val="left"/>
      <w:pPr>
        <w:ind w:left="2880" w:hanging="360"/>
      </w:pPr>
    </w:lvl>
    <w:lvl w:ilvl="4" w:tplc="98404098" w:tentative="1">
      <w:start w:val="1"/>
      <w:numFmt w:val="lowerLetter"/>
      <w:lvlText w:val="%5."/>
      <w:lvlJc w:val="left"/>
      <w:pPr>
        <w:ind w:left="3600" w:hanging="360"/>
      </w:pPr>
    </w:lvl>
    <w:lvl w:ilvl="5" w:tplc="56BE18BC" w:tentative="1">
      <w:start w:val="1"/>
      <w:numFmt w:val="lowerRoman"/>
      <w:lvlText w:val="%6."/>
      <w:lvlJc w:val="right"/>
      <w:pPr>
        <w:ind w:left="4320" w:hanging="180"/>
      </w:pPr>
    </w:lvl>
    <w:lvl w:ilvl="6" w:tplc="49D0101E" w:tentative="1">
      <w:start w:val="1"/>
      <w:numFmt w:val="decimal"/>
      <w:lvlText w:val="%7."/>
      <w:lvlJc w:val="left"/>
      <w:pPr>
        <w:ind w:left="5040" w:hanging="360"/>
      </w:pPr>
    </w:lvl>
    <w:lvl w:ilvl="7" w:tplc="BDBEC7C2" w:tentative="1">
      <w:start w:val="1"/>
      <w:numFmt w:val="lowerLetter"/>
      <w:lvlText w:val="%8."/>
      <w:lvlJc w:val="left"/>
      <w:pPr>
        <w:ind w:left="5760" w:hanging="360"/>
      </w:pPr>
    </w:lvl>
    <w:lvl w:ilvl="8" w:tplc="E5DCACDE"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2"/>
  </w:num>
  <w:num w:numId="6">
    <w:abstractNumId w:val="5"/>
  </w:num>
  <w:num w:numId="7">
    <w:abstractNumId w:val="13"/>
  </w:num>
  <w:num w:numId="8">
    <w:abstractNumId w:val="11"/>
  </w:num>
  <w:num w:numId="9">
    <w:abstractNumId w:val="8"/>
  </w:num>
  <w:num w:numId="10">
    <w:abstractNumId w:val="4"/>
  </w:num>
  <w:num w:numId="11">
    <w:abstractNumId w:val="10"/>
  </w:num>
  <w:num w:numId="12">
    <w:abstractNumId w:val="9"/>
  </w:num>
  <w:num w:numId="13">
    <w:abstractNumId w:val="1"/>
  </w:num>
  <w:num w:numId="1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normaltextrun">
    <w:name w:val="normaltextrun"/>
  </w:style>
  <w:style w:type="character" w:customStyle="1" w:styleId="Heading1Char">
    <w:name w:val="Heading 1 Char"/>
    <w:basedOn w:val="DefaultParagraphFont"/>
    <w:link w:val="Heading1"/>
    <w:uiPriority w:val="9"/>
    <w:rPr>
      <w:rFonts w:ascii="Calibri Light" w:eastAsia="MS Gothic" w:hAnsi="Calibri Light" w:cs="Times New Roman"/>
      <w:color w:val="2E74B5"/>
      <w:sz w:val="24"/>
      <w:szCs w:val="24"/>
    </w:rPr>
  </w:style>
  <w:style w:type="paragraph" w:customStyle="1" w:styleId="NoteLevel21">
    <w:name w:val="Note Level 21"/>
    <w:basedOn w:val="Normal"/>
    <w:unhideWhenUsed/>
    <w:pPr>
      <w:keepNext/>
      <w:numPr>
        <w:ilvl w:val="1"/>
        <w:numId w:val="1"/>
      </w:numPr>
      <w:contextualSpacing/>
      <w:outlineLvl w:val="1"/>
    </w:pPr>
    <w:rPr>
      <w:rFonts w:ascii="Verdana" w:hAnsi="Verdana"/>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lang w:val="en-GB"/>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Calibri" w:eastAsia="Calibri" w:hAnsi="Calibri" w:cs="Times New Roman"/>
      <w:sz w:val="24"/>
      <w:szCs w:val="24"/>
    </w:rPr>
  </w:style>
  <w:style w:type="character" w:styleId="FootnoteReference">
    <w:name w:val="footnote reference"/>
    <w:uiPriority w:val="99"/>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pPr>
      <w:spacing w:before="240" w:after="120"/>
    </w:pPr>
    <w:rPr>
      <w:rFonts w:ascii="Calibri" w:eastAsia="Times New Roman" w:hAnsi="Calibri" w:cs="Times New Roman"/>
      <w:b/>
      <w:bCs/>
      <w:color w:val="000000"/>
      <w:sz w:val="32"/>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Pr>
      <w:color w:val="954F72" w:themeColor="followedHyperlink"/>
      <w:u w:val="single"/>
    </w:rPr>
  </w:style>
  <w:style w:type="paragraph" w:customStyle="1" w:styleId="CCCMcontentheading3">
    <w:name w:val="CCCM_content_heading3"/>
    <w:basedOn w:val="Heading3"/>
    <w:next w:val="Normal"/>
    <w:pPr>
      <w:pBdr>
        <w:top w:val="nil"/>
        <w:left w:val="nil"/>
        <w:bottom w:val="single" w:sz="2" w:space="1" w:color="CCCCCC"/>
        <w:right w:val="nil"/>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customStyle="1" w:styleId="ListParagraphChar">
    <w:name w:val="List Paragraph Char"/>
    <w:aliases w:val="Premier Char"/>
    <w:link w:val="ListParagraph"/>
    <w:uiPriority w:val="34"/>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CCCMcontentheading1">
    <w:name w:val="CCCM_content_heading1"/>
    <w:basedOn w:val="Heading1"/>
    <w:next w:val="Normal"/>
    <w:qFormat/>
    <w:pPr>
      <w:pBdr>
        <w:bottom w:val="single" w:sz="2" w:space="1" w:color="4BA6DD"/>
      </w:pBdr>
      <w:spacing w:before="360" w:after="240"/>
    </w:pPr>
    <w:rPr>
      <w:rFonts w:ascii="Calibri" w:eastAsia="Times New Roman" w:hAnsi="Calibri"/>
      <w:b/>
      <w:bCs/>
      <w:caps/>
      <w:color w:val="0077C0"/>
      <w:spacing w:val="8"/>
      <w:sz w:val="4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BADD4-2BC3-47FA-A40A-3592AD57C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3.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 ds:uri="4d2685e0-3ec3-4526-a337-bc02c6b3961c"/>
  </ds:schemaRefs>
</ds:datastoreItem>
</file>

<file path=customXml/itemProps4.xml><?xml version="1.0" encoding="utf-8"?>
<ds:datastoreItem xmlns:ds="http://schemas.openxmlformats.org/officeDocument/2006/customXml" ds:itemID="{34CADCE0-5540-4790-9CCB-7899DF6F3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
  <cp:lastModifiedBy/>
  <cp:lastPrinted>2018-09-13T11:16:00Z</cp:lastPrinted>
  <dcterms:created xsi:type="dcterms:W3CDTF">2019-01-16T14:51:00Z</dcterms:created>
  <dcterms:modified xsi:type="dcterms:W3CDTF">2020-11-04T23:40:00Z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0x0101002311F0AB4D861F4989F82902B990608D</vt:lpwstr>
  </property>
  <property fmtid="{D5CDD505-2E9C-101B-9397-08002B2CF9AE}" pid="4" name="Order">
    <vt:r8>586400</vt:r8>
  </property>
  <property fmtid="{D5CDD505-2E9C-101B-9397-08002B2CF9AE}" pid="5" name="TemplateUrl">
    <vt:lpwstr/>
  </property>
  <property fmtid="{D5CDD505-2E9C-101B-9397-08002B2CF9AE}" pid="6" name="xd_ProgID">
    <vt:lpwstr/>
  </property>
  <property fmtid="{D5CDD505-2E9C-101B-9397-08002B2CF9AE}" pid="7" name="xd_Signature">
    <vt:bool>false</vt:bool>
  </property>
  <property fmtid="{D5CDD505-2E9C-101B-9397-08002B2CF9AE}" pid="8" name="_SharedFileIndex">
    <vt:lpwstr/>
  </property>
  <property fmtid="{D5CDD505-2E9C-101B-9397-08002B2CF9AE}" pid="9" name="_SourceUrl">
    <vt:lpwstr/>
  </property>
</Properties>
</file>