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CCCMcontentheading2"/>
        <w:spacing w:before="0"/>
        <w:jc w:val="center"/>
        <w:rPr>
          <w:rFonts w:asciiTheme="minorHAnsi" w:hAnsiTheme="minorHAnsi"/>
          <w:i/>
          <w:sz w:val="24"/>
          <w:szCs w:val="24"/>
        </w:rPr>
      </w:pPr>
    </w:p>
    <w:p>
      <w:pPr>
        <w:pStyle w:val="CCCMcontentheading2"/>
        <w:spacing w:before="0"/>
        <w:jc w:val="center"/>
        <w:rPr>
          <w:rFonts w:asciiTheme="minorHAnsi" w:hAnsiTheme="minorHAnsi"/>
          <w:i/>
          <w:sz w:val="24"/>
          <w:szCs w:val="24"/>
          <w:lang w:val="pt-BR"/>
        </w:rPr>
      </w:pPr>
      <w:r>
        <w:rPr>
          <w:rFonts w:eastAsia="Calibri"/>
          <w:i/>
          <w:iCs/>
          <w:sz w:val="24"/>
          <w:szCs w:val="24"/>
          <w:lang w:val="pt-BR"/>
        </w:rPr>
        <w:t>Os Estados têm o dever legal e são responsáveis por fornecer proteção e assistência às comunidades deslocadas em seu território.</w:t>
      </w:r>
    </w:p>
    <w:p>
      <w:pPr>
        <w:pStyle w:val="CCCMcontenttext"/>
        <w:spacing w:after="0"/>
        <w:jc w:val="both"/>
        <w:rPr>
          <w:rFonts w:asciiTheme="minorHAnsi" w:hAnsiTheme="minorHAnsi"/>
          <w:sz w:val="24"/>
          <w:szCs w:val="24"/>
          <w:lang w:val="pt-BR"/>
        </w:rPr>
      </w:pPr>
      <w:r>
        <w:rPr>
          <w:rFonts w:ascii="Calibri" w:eastAsia="Calibri" w:hAnsi="Calibri"/>
          <w:sz w:val="24"/>
          <w:szCs w:val="24"/>
          <w:lang w:val="pt-BR"/>
        </w:rPr>
        <w:t xml:space="preserve">A abordagem de grupo é o mecanismo de coordenação padrão usado pelas agências humanitárias da ONU e seus parceiros internacionais. A abordagem de grupo pode ser ativada quando ocorre uma crise humanitária envolvendo deslocamento interno em um país que sobrecarrega as capacidades nacionais de resposta à crise. Grupos relevantes, incluindo o grupo de CCCM, quando necessário, podem apoiar ou complementar as autoridades nacionais em termos de resposta e prevenção. Nenhum mecanismo paralelo deve ser criado, o que pode enfraquecer ou prejudicar os esforços nacionais. </w:t>
      </w:r>
    </w:p>
    <w:p>
      <w:pPr>
        <w:pStyle w:val="CCCMcontenttext"/>
        <w:spacing w:after="0"/>
        <w:jc w:val="both"/>
        <w:rPr>
          <w:rFonts w:asciiTheme="minorHAnsi" w:hAnsiTheme="minorHAnsi"/>
          <w:sz w:val="24"/>
          <w:szCs w:val="24"/>
          <w:lang w:val="pt-BR"/>
        </w:rPr>
      </w:pPr>
    </w:p>
    <w:p>
      <w:pPr>
        <w:pStyle w:val="CCCMcontenttext"/>
        <w:spacing w:after="0"/>
        <w:jc w:val="both"/>
        <w:rPr>
          <w:rFonts w:asciiTheme="minorHAnsi" w:hAnsiTheme="minorHAnsi"/>
          <w:sz w:val="24"/>
          <w:szCs w:val="24"/>
          <w:lang w:val="pt-BR"/>
        </w:rPr>
      </w:pPr>
      <w:r>
        <w:rPr>
          <w:rFonts w:ascii="Calibri" w:eastAsia="Calibri" w:hAnsi="Calibri"/>
          <w:sz w:val="24"/>
          <w:szCs w:val="24"/>
          <w:lang w:val="pt-BR"/>
        </w:rPr>
        <w:t>Após a crise, as autoridades nacionais, juntamente com o coordenador residente ou humanitário (</w:t>
      </w:r>
      <w:r>
        <w:rPr>
          <w:rFonts w:ascii="Calibri" w:eastAsia="Calibri" w:hAnsi="Calibri"/>
          <w:i/>
          <w:iCs/>
          <w:sz w:val="24"/>
          <w:szCs w:val="24"/>
          <w:lang w:val="pt-BR"/>
        </w:rPr>
        <w:t>Resident/Humanitarian Coordinator</w:t>
      </w:r>
      <w:r>
        <w:rPr>
          <w:rFonts w:ascii="Calibri" w:eastAsia="Calibri" w:hAnsi="Calibri"/>
          <w:sz w:val="24"/>
          <w:szCs w:val="24"/>
          <w:lang w:val="pt-BR"/>
        </w:rPr>
        <w:t>, RC/HC), as agências líderes do grupo e o OCHA avaliarão a capacidade existente e os mecanismos de coordenação disponíveis para a resposta humanitária. As autoridades nacionais podem, se não tiverem capacidade e recursos suficientes para lidar com a situação ou não tiverem condições de acessar regiões do país, solicitar assistência internacional, incluindo suporte técnico ou operacional dos respectivos grupos</w:t>
      </w:r>
      <w:r>
        <w:rPr>
          <w:rStyle w:val="Refdenotaderodap"/>
          <w:rFonts w:asciiTheme="minorHAnsi" w:hAnsiTheme="minorHAnsi"/>
          <w:sz w:val="24"/>
          <w:szCs w:val="24"/>
          <w:lang w:val="en-GB"/>
        </w:rPr>
        <w:footnoteReference w:id="1"/>
      </w:r>
      <w:r>
        <w:rPr>
          <w:rFonts w:ascii="Calibri" w:eastAsia="Calibri" w:hAnsi="Calibri"/>
          <w:sz w:val="24"/>
          <w:szCs w:val="24"/>
          <w:lang w:val="pt-BR"/>
        </w:rPr>
        <w:t>. O HC pode, então, recomendar a ativação do grupo ao Coordenador de Resposta a Emergências (</w:t>
      </w:r>
      <w:r>
        <w:rPr>
          <w:rFonts w:ascii="Calibri" w:eastAsia="Calibri" w:hAnsi="Calibri"/>
          <w:i/>
          <w:iCs/>
          <w:sz w:val="24"/>
          <w:szCs w:val="24"/>
          <w:lang w:val="pt-BR"/>
        </w:rPr>
        <w:t>Emergency Response Coordinator</w:t>
      </w:r>
      <w:r>
        <w:rPr>
          <w:rFonts w:ascii="Calibri" w:eastAsia="Calibri" w:hAnsi="Calibri"/>
          <w:sz w:val="24"/>
          <w:szCs w:val="24"/>
          <w:lang w:val="pt-BR"/>
        </w:rPr>
        <w:t xml:space="preserve">, ERC). </w:t>
      </w:r>
    </w:p>
    <w:p>
      <w:pPr>
        <w:pStyle w:val="CCCMcontentheading3"/>
        <w:rPr>
          <w:rFonts w:asciiTheme="minorHAnsi" w:hAnsiTheme="minorHAnsi"/>
          <w:b/>
          <w:color w:val="404040"/>
          <w:sz w:val="24"/>
          <w:szCs w:val="24"/>
          <w:lang w:val="pt-BR"/>
        </w:rPr>
      </w:pPr>
      <w:r>
        <w:rPr>
          <w:rFonts w:ascii="Calibri" w:eastAsia="Calibri" w:hAnsi="Calibri"/>
          <w:b/>
          <w:bCs/>
          <w:sz w:val="24"/>
          <w:szCs w:val="24"/>
          <w:lang w:val="pt-BR"/>
        </w:rPr>
        <w:t xml:space="preserve">Administração de acampamento </w:t>
      </w:r>
    </w:p>
    <w:p>
      <w:pPr>
        <w:jc w:val="both"/>
        <w:rPr>
          <w:rFonts w:asciiTheme="minorHAnsi" w:hAnsiTheme="minorHAnsi"/>
          <w:color w:val="404040"/>
          <w:lang w:val="pt-BR"/>
        </w:rPr>
      </w:pPr>
      <w:r>
        <w:rPr>
          <w:color w:val="404040"/>
          <w:lang w:val="pt-BR"/>
        </w:rPr>
        <w:t>A função administrativa inclui as responsabilidades que todos os Estados soberanos têm o dever de cumprir e não podem ser transferidas, atribuídas ou delegadas a qualquer outra parte.</w:t>
      </w:r>
    </w:p>
    <w:p>
      <w:pPr>
        <w:rPr>
          <w:rFonts w:asciiTheme="minorHAnsi" w:hAnsiTheme="minorHAnsi"/>
          <w:color w:val="404040"/>
          <w:lang w:val="pt-BR"/>
        </w:rPr>
      </w:pPr>
    </w:p>
    <w:p>
      <w:pPr>
        <w:jc w:val="both"/>
        <w:rPr>
          <w:rFonts w:asciiTheme="minorHAnsi" w:hAnsiTheme="minorHAnsi"/>
          <w:color w:val="404040"/>
          <w:lang w:val="pt-BR"/>
        </w:rPr>
      </w:pPr>
      <w:r>
        <w:rPr>
          <w:color w:val="404040"/>
          <w:lang w:val="pt-BR"/>
        </w:rPr>
        <w:t xml:space="preserve">Quando as autoridades nacionais forem capazes de liderar e contribuir fortemente com a resposta humanitária, as entidades governamentais serão responsáveis por diferentes áreas da resposta. Pode ocorrer que, com uma entidade nacional de gestão de desastres existente e funcional, todas as três funções de CCCM (CA, CC e CM) serão lideradas pelas autoridades nacionais. A capacidade das autoridades nacionais de responder às necessidades das comunidades deslocadas pode ser comprometida pela falta de capacidade e recursos ou pela incapacidade de ter acesso a regiões do país. Então, o grupo de CCCM pode assumir a liderança no apoio às autoridades nacionais com iniciativas de construção de capacidade, como treinamento, mentoria, coaching ou destacamentos, e pode coordenar e entregar alguns aspectos da resposta da administração de acampamento. </w:t>
      </w:r>
    </w:p>
    <w:p>
      <w:pPr>
        <w:pStyle w:val="CCCMcontentheading3"/>
        <w:rPr>
          <w:rFonts w:asciiTheme="minorHAnsi" w:hAnsiTheme="minorHAnsi"/>
          <w:b/>
          <w:color w:val="404040"/>
          <w:sz w:val="24"/>
          <w:szCs w:val="24"/>
          <w:lang w:val="pt-BR"/>
        </w:rPr>
      </w:pPr>
      <w:r>
        <w:rPr>
          <w:rFonts w:ascii="Calibri" w:eastAsia="Calibri" w:hAnsi="Calibri"/>
          <w:b/>
          <w:bCs/>
          <w:sz w:val="24"/>
          <w:szCs w:val="24"/>
          <w:lang w:val="pt-BR"/>
        </w:rPr>
        <w:t xml:space="preserve">Coordenação de acampamento </w:t>
      </w:r>
    </w:p>
    <w:p>
      <w:pPr>
        <w:pStyle w:val="Default"/>
        <w:jc w:val="both"/>
        <w:rPr>
          <w:rFonts w:asciiTheme="minorHAnsi" w:hAnsiTheme="minorHAnsi" w:cs="Times New Roman"/>
          <w:color w:val="404040"/>
          <w:lang w:val="pt-BR" w:eastAsia="en-US"/>
        </w:rPr>
      </w:pPr>
      <w:r>
        <w:rPr>
          <w:rFonts w:ascii="Calibri" w:eastAsia="Calibri" w:hAnsi="Calibri" w:cs="Times New Roman"/>
          <w:color w:val="404040"/>
          <w:lang w:val="pt-BR" w:eastAsia="en-US"/>
        </w:rPr>
        <w:t xml:space="preserve">A função de coordenação de acampamento envolve coordenação geral estratégica e operacional dentro do acampamento. Em situações de deslocamento interno em que as autoridades nacionais lideram a resposta humanitária geral, pode haver uma agência líder do grupo (geralmente governamental) desempenhando a função de coordenação de acampamento, com </w:t>
      </w:r>
      <w:bookmarkStart w:id="0" w:name="_GoBack"/>
      <w:bookmarkEnd w:id="0"/>
      <w:r>
        <w:rPr>
          <w:rFonts w:ascii="Calibri" w:eastAsia="Calibri" w:hAnsi="Calibri" w:cs="Times New Roman"/>
          <w:color w:val="404040"/>
          <w:lang w:val="pt-BR" w:eastAsia="en-US"/>
        </w:rPr>
        <w:lastRenderedPageBreak/>
        <w:t>a qual a Agência de Gestão de Acampamento trabalha em estreita colaboração. Ao trabalhar em um contexto de IDP [</w:t>
      </w:r>
      <w:r>
        <w:rPr>
          <w:rFonts w:ascii="Calibri" w:eastAsia="Calibri" w:hAnsi="Calibri" w:cs="Times New Roman"/>
          <w:i/>
          <w:iCs/>
          <w:color w:val="404040"/>
          <w:lang w:val="pt-BR" w:eastAsia="en-US"/>
        </w:rPr>
        <w:t>Internally Displaced Persons</w:t>
      </w:r>
      <w:r>
        <w:rPr>
          <w:rFonts w:ascii="Calibri" w:eastAsia="Calibri" w:hAnsi="Calibri" w:cs="Times New Roman"/>
          <w:color w:val="404040"/>
          <w:lang w:val="pt-BR" w:eastAsia="en-US"/>
        </w:rPr>
        <w:t xml:space="preserve"> (Pessoas deslocadas internamente)] em que o sistema de coordenação de grupo foi ativado, a agência de Coordenação de Acampamento (geralmente a agência líder do grupo) apoia as autoridades nacionais na coordenação da resposta geral do acampamento, com frequência em nível regional. Em contextos de refugiados, a função de coordenação de acampamento é cumprida pelas autoridades nacionais que assinaram a Convenção de Refugiados, apoiada pelo ACNUR como a agência globalmente responsável. </w:t>
      </w:r>
    </w:p>
    <w:p>
      <w:pPr>
        <w:jc w:val="both"/>
        <w:rPr>
          <w:rFonts w:asciiTheme="minorHAnsi" w:hAnsiTheme="minorHAnsi"/>
          <w:color w:val="404040"/>
          <w:lang w:val="pt-BR"/>
        </w:rPr>
      </w:pPr>
      <w:r>
        <w:rPr>
          <w:rFonts w:asciiTheme="minorHAnsi" w:hAnsiTheme="minorHAnsi"/>
          <w:color w:val="404040"/>
          <w:lang w:val="pt-BR"/>
        </w:rPr>
        <w:t xml:space="preserve"> </w:t>
      </w:r>
    </w:p>
    <w:p>
      <w:pPr>
        <w:jc w:val="both"/>
        <w:rPr>
          <w:rFonts w:asciiTheme="minorHAnsi" w:hAnsiTheme="minorHAnsi"/>
          <w:color w:val="404040"/>
          <w:lang w:val="pt-BR"/>
        </w:rPr>
      </w:pPr>
      <w:r>
        <w:rPr>
          <w:color w:val="404040"/>
          <w:lang w:val="pt-BR"/>
        </w:rPr>
        <w:t>Em uma situação em que as autoridades nacionais não estão dispostas ou não têm condições de assumir a liderança ou de contribuir com a resposta humanitária, o grupo de CCCM deve tentar coordenar a resposta do acampamento, desde que a segurança e a situação política permitam. Em geral, o ACNUR lidera o grupo de CCCM em nível nacional para deslocamento causado por crises provocadas por conflitos e a IOM [</w:t>
      </w:r>
      <w:r>
        <w:rPr>
          <w:i/>
          <w:iCs/>
          <w:color w:val="404040"/>
          <w:lang w:val="pt-BR"/>
        </w:rPr>
        <w:t>International Organization for Migration</w:t>
      </w:r>
      <w:r>
        <w:rPr>
          <w:color w:val="404040"/>
          <w:lang w:val="pt-BR"/>
        </w:rPr>
        <w:t xml:space="preserve"> (Organização Internacional para as Migrações)] lidera o grupo de CCCM em respostas a desastres naturais. No entanto, as agências líderes do grupo são determinadas no nível nacional, com base nas capacidades existentes. </w:t>
      </w:r>
    </w:p>
    <w:p>
      <w:pPr>
        <w:pStyle w:val="CCCMcontentheading3"/>
        <w:rPr>
          <w:rFonts w:asciiTheme="minorHAnsi" w:hAnsiTheme="minorHAnsi"/>
          <w:color w:val="404040"/>
          <w:sz w:val="24"/>
          <w:szCs w:val="24"/>
          <w:lang w:val="pt-BR"/>
        </w:rPr>
      </w:pPr>
      <w:r>
        <w:rPr>
          <w:rFonts w:ascii="Calibri" w:eastAsia="Calibri" w:hAnsi="Calibri"/>
          <w:b/>
          <w:bCs/>
          <w:sz w:val="24"/>
          <w:szCs w:val="24"/>
          <w:lang w:val="pt-BR"/>
        </w:rPr>
        <w:t>Gestão de acampamento</w:t>
      </w:r>
      <w:r>
        <w:rPr>
          <w:rFonts w:ascii="Calibri" w:eastAsia="Calibri" w:hAnsi="Calibri"/>
          <w:sz w:val="24"/>
          <w:szCs w:val="24"/>
          <w:lang w:val="pt-BR"/>
        </w:rPr>
        <w:t xml:space="preserve"> </w:t>
      </w:r>
    </w:p>
    <w:p>
      <w:pPr>
        <w:jc w:val="both"/>
        <w:rPr>
          <w:rFonts w:asciiTheme="minorHAnsi" w:hAnsiTheme="minorHAnsi" w:cs="Calibri Light"/>
          <w:color w:val="404040"/>
          <w:lang w:val="pt-BR"/>
        </w:rPr>
      </w:pPr>
      <w:r>
        <w:rPr>
          <w:color w:val="404040"/>
          <w:lang w:val="pt-BR"/>
        </w:rPr>
        <w:t xml:space="preserve">Trabalhando no nível de um único acampamento, a agência de Gestão de Acampamento coordena a prestação de assistência (serviços) e proteção no nível do acampamento com base em uma estratégia geral. Uma boa relação entre uma agência de Gestão de Acampamento e a agência de Coordenação de Acampamento é fundamental para a capacidade geral da resposta da CCCM de fornecer proteção e assistência. As duas agências têm funções e responsabilidades diferentes dependentes entre si, assim como das funções e responsabilidades da Administração de Acampamento. Embora o rastreamento de lacunas e duplicações na prestação de serviços no nível do acampamento individual seja função da agência de Gestão de Acampamento, essas informações serão compartilhadas e tratadas em um nível dentro do acampamento em reuniões de coordenação e alimentadas nos sistemas e ferramentas de gestão de informações desenvolvidos e atualizados pela agência de Coordenação de Acampamento. </w:t>
      </w:r>
    </w:p>
    <w:p>
      <w:pPr>
        <w:rPr>
          <w:rFonts w:asciiTheme="minorHAnsi" w:hAnsiTheme="minorHAnsi" w:cs="Calibri Light"/>
          <w:color w:val="404040"/>
          <w:lang w:val="pt-BR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362"/>
        <w:gridCol w:w="3262"/>
        <w:gridCol w:w="3244"/>
      </w:tblGrid>
      <w:t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70C0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b/>
                <w:bCs/>
                <w:color w:val="FFFFFF"/>
                <w:lang w:val="pt-BR"/>
              </w:rPr>
              <w:t>ADMINISTRAÇÃO DE ACAMPAMENTO (CA)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70C0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b/>
                <w:bCs/>
                <w:color w:val="FFFFFF"/>
                <w:lang w:val="pt-BR"/>
              </w:rPr>
              <w:t>COORDENAÇÃO DE ACAMPAMENTO (CC)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>
            <w:pPr>
              <w:jc w:val="center"/>
              <w:rPr>
                <w:rFonts w:asciiTheme="minorHAnsi" w:hAnsiTheme="minorHAnsi"/>
                <w:lang w:val="pt-BR"/>
              </w:rPr>
            </w:pPr>
            <w:r>
              <w:rPr>
                <w:b/>
                <w:bCs/>
                <w:color w:val="FFFFFF"/>
                <w:lang w:val="pt-BR"/>
              </w:rPr>
              <w:t>GESTÃO DE ACAMPAMENTO</w:t>
            </w:r>
            <w:r>
              <w:rPr>
                <w:color w:val="FFFFFF"/>
                <w:lang w:val="pt-BR"/>
              </w:rPr>
              <w:t xml:space="preserve"> </w:t>
            </w:r>
            <w:r>
              <w:rPr>
                <w:b/>
                <w:bCs/>
                <w:color w:val="FFFFFF"/>
                <w:lang w:val="pt-BR"/>
              </w:rPr>
              <w:t>MÓVEL (CM)</w:t>
            </w:r>
          </w:p>
        </w:tc>
      </w:tr>
      <w:t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</w:tcPr>
          <w:p>
            <w:pPr>
              <w:snapToGrid w:val="0"/>
              <w:rPr>
                <w:rFonts w:asciiTheme="minorHAnsi" w:hAnsiTheme="minorHAnsi"/>
                <w:b/>
                <w:color w:val="FFFFFF"/>
                <w:lang w:val="pt-BR"/>
              </w:rPr>
            </w:pPr>
          </w:p>
        </w:tc>
        <w:tc>
          <w:tcPr>
            <w:tcW w:w="32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DD6E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b/>
                <w:bCs/>
                <w:lang w:val="pt-BR"/>
              </w:rPr>
              <w:t>Função</w:t>
            </w:r>
          </w:p>
        </w:tc>
        <w:tc>
          <w:tcPr>
            <w:tcW w:w="3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>
            <w:pPr>
              <w:snapToGrid w:val="0"/>
              <w:rPr>
                <w:rFonts w:asciiTheme="minorHAnsi" w:hAnsiTheme="minorHAnsi"/>
                <w:b/>
              </w:rPr>
            </w:pPr>
          </w:p>
        </w:tc>
      </w:tr>
      <w:t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/>
                <w:lang w:val="pt-BR"/>
              </w:rPr>
            </w:pPr>
            <w:r>
              <w:rPr>
                <w:color w:val="404040"/>
                <w:lang w:val="pt-BR"/>
              </w:rPr>
              <w:t>Fornecer fiscalização e supervisão das atividades nos acampamentos (autoridades nacionais)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/>
                <w:lang w:val="pt-BR"/>
              </w:rPr>
            </w:pPr>
            <w:r>
              <w:rPr>
                <w:color w:val="404040"/>
                <w:lang w:val="pt-BR"/>
              </w:rPr>
              <w:t>Criar o espaço humanitário necessário para o fornecimento eficaz de proteção e assistência (prestação de serviços) à população deslocada nos acampamentos e em estruturas semelhantes a acampamentos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autoSpaceDE w:val="0"/>
              <w:jc w:val="center"/>
              <w:rPr>
                <w:rFonts w:asciiTheme="minorHAnsi" w:hAnsiTheme="minorHAnsi"/>
                <w:lang w:val="pt-BR"/>
              </w:rPr>
            </w:pPr>
            <w:r>
              <w:rPr>
                <w:color w:val="404040"/>
                <w:lang w:val="pt-BR"/>
              </w:rPr>
              <w:t>Garantir a prestação de assistência e proteção para as pessoas deslocadas em um único acampamento, levando-se em consideração seu bem-estar físico, psicológico, cultural, social e emocional</w:t>
            </w:r>
          </w:p>
        </w:tc>
      </w:tr>
      <w:t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</w:tcPr>
          <w:p>
            <w:pPr>
              <w:snapToGrid w:val="0"/>
              <w:rPr>
                <w:rFonts w:asciiTheme="minorHAnsi" w:hAnsiTheme="minorHAnsi"/>
                <w:b/>
                <w:color w:val="404040"/>
                <w:lang w:val="pt-BR"/>
              </w:rPr>
            </w:pPr>
          </w:p>
        </w:tc>
        <w:tc>
          <w:tcPr>
            <w:tcW w:w="32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DD6E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b/>
                <w:bCs/>
                <w:lang w:val="pt-BR"/>
              </w:rPr>
              <w:t>Responsabilidades</w:t>
            </w:r>
          </w:p>
        </w:tc>
        <w:tc>
          <w:tcPr>
            <w:tcW w:w="3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>
            <w:pPr>
              <w:snapToGrid w:val="0"/>
              <w:rPr>
                <w:rFonts w:asciiTheme="minorHAnsi" w:hAnsiTheme="minorHAnsi"/>
                <w:b/>
              </w:rPr>
            </w:pPr>
          </w:p>
        </w:tc>
      </w:tr>
      <w:t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lastRenderedPageBreak/>
              <w:t xml:space="preserve">Identificar o local, abrir e fechar um acampamento 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 xml:space="preserve">Assegurar os direitos de ocupação e resolver disputas decorrentes da apropriação de terrenos ou edifícios 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Fornecer segurança, manter a lei e a ordem, e garantir o caráter civil dos acampamentos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Oferecer proteção e assistência humanitária aos residentes do acampamento e evitar despejos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Manter e facilitar o acesso aos acampamentos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Emitir documentação legal, autorizações e licenças (por exemplo, certidões de nascimento e óbito, carteiras de identidade, autorizações de viagem) para os residentes do acampamento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Organizar um sistema de cadastro para os residentes do acampamento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 xml:space="preserve">Coordenar a resposta de CCCM 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Fornecer apoio adequado às autoridades nacionais e locais, incluindo construção de capacidade, com relação à proteção e assistência às comunidades deslocadas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 xml:space="preserve">Elaborar documentos de defesa e angariação de fundos 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  <w:lang w:val="pt-BR" w:eastAsia="en-GB"/>
              </w:rPr>
              <w:t>Coordenar avaliações, análise e priorização das necessidades para embasar a tomada de decisões estratégicas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Fornecer orientação e treinamento para todos os parceiros humanitários em uma resposta de CCCM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Garantir que haja avaliações situacionais, projeto estratégico, planejamento operacional, implementação monitorada e avaliada do programa, suporte técnico, estratégias de saída e coordenação intergrupo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Estabelecer e manter um sistema de gestão de informações que apoie a coordenação dentro do acampamento e garanta que todas as partes interessadas tenham acesso e compartilhem dados operacionais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Identificar e designar agências de gestão de acampamento e prestadores de serviços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lastRenderedPageBreak/>
              <w:t>Promover a aplicação e manutenção de padrões internacionais nos acampamentos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Abordar problemas de desempenho inadequado por parte das agências de gestão de acampamento e parceiros de prestação de serviços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Apoiar a prestação de serviços nos acampamentos, incluindo a eliminação de lacunas e duplicações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lastRenderedPageBreak/>
              <w:t>Recrutar, treinar e supervisionar a equipe de gestão de acampamento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Coletar informações (dados) sobre as necessidades da população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Monitorar se todos os habitantes do acampamento têm acesso seguro e não discriminatório às instalações e aos serviços disponíveis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Apoiar mecanismos de referência e resposta para incidentes de proteção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Coordenar e monitorar a assistência e proteção no acampamento, além de reportar as lacunas às agências responsáveis (frequentemente prestadores de serviços)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Garantir que as questões de proteção relevantes sejam direcionadas às agências de proteção e autoridades competentes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 xml:space="preserve">Estabelecer mecanismos de governança de acampamentos e de participação comunitária 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Monitorar e manter a infraestrutura do acampamento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>Fornecer informações à população do acampamento sobre seus direitos e suas obrigações</w:t>
            </w:r>
          </w:p>
          <w:p>
            <w:pPr>
              <w:pStyle w:val="CCCMbulletpoint"/>
              <w:numPr>
                <w:ilvl w:val="0"/>
                <w:numId w:val="14"/>
              </w:numPr>
              <w:rPr>
                <w:rFonts w:asciiTheme="minorHAnsi" w:hAnsiTheme="minorHAns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t xml:space="preserve">Planejar estrategicamente atividades para integrar uma perspectiva de proteção em todos os </w:t>
            </w:r>
            <w:r>
              <w:rPr>
                <w:rFonts w:ascii="Calibri" w:eastAsia="Calibri" w:hAnsi="Calibri"/>
                <w:sz w:val="24"/>
                <w:szCs w:val="24"/>
                <w:lang w:val="pt-BR"/>
              </w:rPr>
              <w:lastRenderedPageBreak/>
              <w:t xml:space="preserve">programas e atividades no acampamento </w:t>
            </w:r>
          </w:p>
          <w:p>
            <w:pPr>
              <w:pStyle w:val="PargrafodaLista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Calibri"/>
                <w:color w:val="000000"/>
                <w:lang w:val="pt-BR"/>
              </w:rPr>
              <w:t>Verificar regularmente a segurança do local e o bem-estar de mulheres, meninas e outros grupos em risco para garantir que estejam protegidos contra agressões, exploração e assédio (por exemplo, através da observação do local, mapeamento da segurança do local, reuniões com grupos/líderes de mulheres etc.)</w:t>
            </w:r>
          </w:p>
        </w:tc>
      </w:tr>
    </w:tbl>
    <w:p>
      <w:pPr>
        <w:pStyle w:val="NoteLevel21"/>
        <w:numPr>
          <w:ilvl w:val="0"/>
          <w:numId w:val="0"/>
        </w:numPr>
        <w:spacing w:after="144"/>
        <w:rPr>
          <w:rFonts w:asciiTheme="minorHAnsi" w:hAnsiTheme="minorHAnsi"/>
          <w:sz w:val="2"/>
          <w:szCs w:val="2"/>
          <w:lang w:val="pt-BR"/>
        </w:rPr>
      </w:pPr>
    </w:p>
    <w:p>
      <w:pPr>
        <w:rPr>
          <w:rFonts w:asciiTheme="minorHAnsi" w:hAnsiTheme="minorHAnsi"/>
          <w:b/>
          <w:color w:val="429DCA"/>
          <w:sz w:val="44"/>
          <w:szCs w:val="44"/>
          <w:lang w:val="pt-BR"/>
        </w:rPr>
      </w:pPr>
    </w:p>
    <w:p>
      <w:pPr>
        <w:rPr>
          <w:rFonts w:asciiTheme="minorHAnsi" w:hAnsiTheme="minorHAnsi"/>
          <w:lang w:val="pt-BR"/>
        </w:rPr>
      </w:pPr>
    </w:p>
    <w:p>
      <w:pPr>
        <w:rPr>
          <w:rFonts w:asciiTheme="minorHAnsi" w:hAnsiTheme="minorHAnsi"/>
          <w:lang w:val="pt-BR"/>
        </w:rPr>
      </w:pPr>
    </w:p>
    <w:sectPr>
      <w:footerReference w:type="default" r:id="rId11"/>
      <w:headerReference w:type="first" r:id="rId12"/>
      <w:footerReference w:type="first" r:id="rId13"/>
      <w:pgSz w:w="11906" w:h="16838" w:code="9"/>
      <w:pgMar w:top="1440" w:right="1138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Rodap"/>
      <w:jc w:val="both"/>
      <w:rPr>
        <w:color w:val="2A87C8"/>
        <w:sz w:val="18"/>
      </w:rPr>
    </w:pPr>
  </w:p>
  <w:p>
    <w:pPr>
      <w:pStyle w:val="Rodap"/>
      <w:jc w:val="both"/>
      <w:rPr>
        <w:color w:val="2A87C8"/>
        <w:sz w:val="18"/>
        <w:lang w:val="pt-BR"/>
      </w:rPr>
    </w:pPr>
    <w:r>
      <w:rPr>
        <w:color w:val="2A87C8"/>
        <w:sz w:val="18"/>
        <w:szCs w:val="18"/>
        <w:lang w:val="pt-BR"/>
      </w:rPr>
      <w:t xml:space="preserve">Treinamento de CCCM Anexo 2.1 – Folheto da Estrutura de CCCM www.globalcccmcluster.com </w:t>
    </w:r>
  </w:p>
  <w:p>
    <w:pPr>
      <w:pStyle w:val="Rodap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>
          <w:rPr>
            <w:color w:val="2A87C8"/>
            <w:sz w:val="18"/>
          </w:rPr>
          <w:t xml:space="preserve">  </w:t>
        </w:r>
        <w:r>
          <w:rPr>
            <w:color w:val="000000" w:themeColor="text1"/>
            <w:sz w:val="22"/>
          </w:rPr>
          <w:fldChar w:fldCharType="begin"/>
        </w:r>
        <w:r>
          <w:rPr>
            <w:color w:val="000000" w:themeColor="text1"/>
            <w:sz w:val="22"/>
          </w:rPr>
          <w:instrText xml:space="preserve"> PAGE   \* MERGEFORMAT </w:instrText>
        </w:r>
        <w:r>
          <w:rPr>
            <w:color w:val="000000" w:themeColor="text1"/>
            <w:sz w:val="22"/>
          </w:rPr>
          <w:fldChar w:fldCharType="separate"/>
        </w:r>
        <w:r>
          <w:rPr>
            <w:noProof/>
            <w:color w:val="000000" w:themeColor="text1"/>
            <w:sz w:val="22"/>
          </w:rPr>
          <w:t>2</w:t>
        </w:r>
        <w:r>
          <w:rPr>
            <w:noProof/>
            <w:color w:val="000000" w:themeColor="text1"/>
            <w:sz w:val="22"/>
          </w:rPr>
          <w:fldChar w:fldCharType="end"/>
        </w:r>
      </w:sdtContent>
    </w:sdt>
  </w:p>
  <w:p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Rodap"/>
      <w:jc w:val="both"/>
      <w:rPr>
        <w:color w:val="2A87C8"/>
        <w:sz w:val="18"/>
      </w:rPr>
    </w:pPr>
  </w:p>
  <w:p>
    <w:pPr>
      <w:pStyle w:val="Rodap"/>
      <w:jc w:val="both"/>
      <w:rPr>
        <w:color w:val="2A87C8"/>
        <w:sz w:val="18"/>
        <w:lang w:val="pt-BR"/>
      </w:rPr>
    </w:pPr>
    <w:r>
      <w:rPr>
        <w:color w:val="2A87C8"/>
        <w:sz w:val="18"/>
        <w:szCs w:val="18"/>
        <w:lang w:val="pt-BR"/>
      </w:rPr>
      <w:t xml:space="preserve">Treinamento de CCCM                          Anexo 2.1 – Folheto da Estrutura de CCCM                                www.globalcccmcluster.com </w:t>
    </w:r>
  </w:p>
  <w:p>
    <w:pPr>
      <w:pStyle w:val="Rodap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1324627047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>
          <w:rPr>
            <w:color w:val="2A87C8"/>
            <w:sz w:val="18"/>
          </w:rPr>
          <w:t xml:space="preserve">  </w:t>
        </w:r>
        <w:r>
          <w:rPr>
            <w:color w:val="000000" w:themeColor="text1"/>
            <w:sz w:val="22"/>
          </w:rPr>
          <w:fldChar w:fldCharType="begin"/>
        </w:r>
        <w:r>
          <w:rPr>
            <w:color w:val="000000" w:themeColor="text1"/>
            <w:sz w:val="22"/>
          </w:rPr>
          <w:instrText xml:space="preserve"> PAGE   \* MERGEFORMAT </w:instrText>
        </w:r>
        <w:r>
          <w:rPr>
            <w:color w:val="000000" w:themeColor="text1"/>
            <w:sz w:val="22"/>
          </w:rPr>
          <w:fldChar w:fldCharType="separate"/>
        </w:r>
        <w:r>
          <w:rPr>
            <w:noProof/>
            <w:color w:val="000000" w:themeColor="text1"/>
            <w:sz w:val="22"/>
          </w:rPr>
          <w:t>1</w:t>
        </w:r>
        <w:r>
          <w:rPr>
            <w:noProof/>
            <w:color w:val="000000" w:themeColor="text1"/>
            <w:sz w:val="22"/>
          </w:rPr>
          <w:fldChar w:fldCharType="end"/>
        </w:r>
      </w:sdtContent>
    </w:sdt>
  </w:p>
  <w:p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Textodenotaderodap"/>
        <w:jc w:val="both"/>
        <w:rPr>
          <w:sz w:val="16"/>
          <w:szCs w:val="16"/>
          <w:lang w:val="pt-BR"/>
        </w:rPr>
      </w:pPr>
      <w:r>
        <w:rPr>
          <w:rStyle w:val="Refdenotaderodap"/>
          <w:sz w:val="20"/>
          <w:szCs w:val="16"/>
        </w:rPr>
        <w:footnoteRef/>
      </w:r>
      <w:r>
        <w:rPr>
          <w:sz w:val="20"/>
          <w:szCs w:val="20"/>
          <w:lang w:val="pt-BR"/>
        </w:rPr>
        <w:t xml:space="preserve"> Em contextos de refugiados, o ACNUR é responsável por coordenar a resposta a emergências usando uma abordagem setorial e o Modelo de Coordenação de Refugiados. Em conjunto com a Observação Conjunta do ACNUR-OCHA sobre Situações Mistas, o RCM [</w:t>
      </w:r>
      <w:r>
        <w:rPr>
          <w:i/>
          <w:iCs/>
          <w:sz w:val="20"/>
          <w:szCs w:val="20"/>
          <w:lang w:val="pt-BR"/>
        </w:rPr>
        <w:t>Refugee Coordination Model</w:t>
      </w:r>
      <w:r>
        <w:rPr>
          <w:sz w:val="20"/>
          <w:szCs w:val="20"/>
          <w:lang w:val="pt-BR"/>
        </w:rPr>
        <w:t xml:space="preserve"> (Modelo de Coordenação de Refugiados)] fornece as estruturas e os princípios através dos quais as situações com refugiados e mistas devem ser abordadas.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spacing w:line="276" w:lineRule="auto"/>
      <w:rPr>
        <w:rFonts w:asciiTheme="minorHAnsi" w:hAnsiTheme="minorHAnsi" w:cs="Calibri"/>
        <w:b/>
        <w:color w:val="2A87C8"/>
        <w:sz w:val="34"/>
        <w:szCs w:val="34"/>
        <w:lang w:val="en-GB"/>
      </w:rPr>
    </w:pPr>
    <w:r>
      <w:rPr>
        <w:rFonts w:ascii="Cambria" w:hAnsi="Cambria"/>
        <w:noProof/>
        <w:color w:val="2A87C8"/>
        <w:sz w:val="34"/>
        <w:szCs w:val="34"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ge">
            <wp:posOffset>390525</wp:posOffset>
          </wp:positionV>
          <wp:extent cx="5886450" cy="759460"/>
          <wp:effectExtent l="0" t="0" r="0" b="2540"/>
          <wp:wrapThrough wrapText="bothSides">
            <wp:wrapPolygon edited="0">
              <wp:start x="18035" y="0"/>
              <wp:lineTo x="16917" y="0"/>
              <wp:lineTo x="16567" y="2167"/>
              <wp:lineTo x="16637" y="8669"/>
              <wp:lineTo x="0" y="13003"/>
              <wp:lineTo x="0" y="14629"/>
              <wp:lineTo x="16497" y="17338"/>
              <wp:lineTo x="16497" y="21130"/>
              <wp:lineTo x="20272" y="21130"/>
              <wp:lineTo x="20272" y="17338"/>
              <wp:lineTo x="21530" y="14629"/>
              <wp:lineTo x="21530" y="13003"/>
              <wp:lineTo x="20132" y="8669"/>
              <wp:lineTo x="20132" y="3251"/>
              <wp:lineTo x="19852" y="0"/>
              <wp:lineTo x="18035" y="0"/>
            </wp:wrapPolygon>
          </wp:wrapThrough>
          <wp:docPr id="2" name="Picture 2" descr="Papel timbrado A4 da C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5292336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Calibri"/>
        <w:b/>
        <w:bCs/>
        <w:color w:val="2A87C8"/>
        <w:sz w:val="34"/>
        <w:szCs w:val="34"/>
        <w:lang w:val="pt-BR"/>
      </w:rPr>
      <w:t>FOLHETO DA ESTRUTURA DE CCCM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Symbol" w:hAnsi="Symbol" w:cs="Calibri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Calibri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 2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 2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Calibri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 2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 2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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0077C0"/>
      </w:rPr>
    </w:lvl>
  </w:abstractNum>
  <w:abstractNum w:abstractNumId="3" w15:restartNumberingAfterBreak="0">
    <w:nsid w:val="0E227195"/>
    <w:multiLevelType w:val="hybridMultilevel"/>
    <w:tmpl w:val="781ADBEC"/>
    <w:lvl w:ilvl="0" w:tplc="A21C7AF0">
      <w:start w:val="1"/>
      <w:numFmt w:val="bullet"/>
      <w:pStyle w:val="CCCM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65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2CB1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E4A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447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0C4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3213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24DE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6AD1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E76F9"/>
    <w:multiLevelType w:val="hybridMultilevel"/>
    <w:tmpl w:val="8E109F68"/>
    <w:lvl w:ilvl="0" w:tplc="9F0CF9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B818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002C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262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CC6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B0A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023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A96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2E8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A3074"/>
    <w:multiLevelType w:val="hybridMultilevel"/>
    <w:tmpl w:val="0F3A75A6"/>
    <w:lvl w:ilvl="0" w:tplc="D48A4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4898A2" w:tentative="1">
      <w:start w:val="1"/>
      <w:numFmt w:val="lowerLetter"/>
      <w:lvlText w:val="%2."/>
      <w:lvlJc w:val="left"/>
      <w:pPr>
        <w:ind w:left="1440" w:hanging="360"/>
      </w:pPr>
    </w:lvl>
    <w:lvl w:ilvl="2" w:tplc="24D8DEFC" w:tentative="1">
      <w:start w:val="1"/>
      <w:numFmt w:val="lowerRoman"/>
      <w:lvlText w:val="%3."/>
      <w:lvlJc w:val="right"/>
      <w:pPr>
        <w:ind w:left="2160" w:hanging="180"/>
      </w:pPr>
    </w:lvl>
    <w:lvl w:ilvl="3" w:tplc="040EED20" w:tentative="1">
      <w:start w:val="1"/>
      <w:numFmt w:val="decimal"/>
      <w:lvlText w:val="%4."/>
      <w:lvlJc w:val="left"/>
      <w:pPr>
        <w:ind w:left="2880" w:hanging="360"/>
      </w:pPr>
    </w:lvl>
    <w:lvl w:ilvl="4" w:tplc="91D40B22" w:tentative="1">
      <w:start w:val="1"/>
      <w:numFmt w:val="lowerLetter"/>
      <w:lvlText w:val="%5."/>
      <w:lvlJc w:val="left"/>
      <w:pPr>
        <w:ind w:left="3600" w:hanging="360"/>
      </w:pPr>
    </w:lvl>
    <w:lvl w:ilvl="5" w:tplc="8AFA05B6" w:tentative="1">
      <w:start w:val="1"/>
      <w:numFmt w:val="lowerRoman"/>
      <w:lvlText w:val="%6."/>
      <w:lvlJc w:val="right"/>
      <w:pPr>
        <w:ind w:left="4320" w:hanging="180"/>
      </w:pPr>
    </w:lvl>
    <w:lvl w:ilvl="6" w:tplc="76D07AE2" w:tentative="1">
      <w:start w:val="1"/>
      <w:numFmt w:val="decimal"/>
      <w:lvlText w:val="%7."/>
      <w:lvlJc w:val="left"/>
      <w:pPr>
        <w:ind w:left="5040" w:hanging="360"/>
      </w:pPr>
    </w:lvl>
    <w:lvl w:ilvl="7" w:tplc="C2C44EAA" w:tentative="1">
      <w:start w:val="1"/>
      <w:numFmt w:val="lowerLetter"/>
      <w:lvlText w:val="%8."/>
      <w:lvlJc w:val="left"/>
      <w:pPr>
        <w:ind w:left="5760" w:hanging="360"/>
      </w:pPr>
    </w:lvl>
    <w:lvl w:ilvl="8" w:tplc="59DCD1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7F47"/>
    <w:multiLevelType w:val="hybridMultilevel"/>
    <w:tmpl w:val="912CD0A4"/>
    <w:lvl w:ilvl="0" w:tplc="311A0BCA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10CC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B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6A9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0C0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867F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4A77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6CE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3C3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420E2"/>
    <w:multiLevelType w:val="hybridMultilevel"/>
    <w:tmpl w:val="55A04418"/>
    <w:lvl w:ilvl="0" w:tplc="DF2AD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B07BFC" w:tentative="1">
      <w:start w:val="1"/>
      <w:numFmt w:val="lowerLetter"/>
      <w:lvlText w:val="%2."/>
      <w:lvlJc w:val="left"/>
      <w:pPr>
        <w:ind w:left="1440" w:hanging="360"/>
      </w:pPr>
    </w:lvl>
    <w:lvl w:ilvl="2" w:tplc="09B01BDC" w:tentative="1">
      <w:start w:val="1"/>
      <w:numFmt w:val="lowerRoman"/>
      <w:lvlText w:val="%3."/>
      <w:lvlJc w:val="right"/>
      <w:pPr>
        <w:ind w:left="2160" w:hanging="180"/>
      </w:pPr>
    </w:lvl>
    <w:lvl w:ilvl="3" w:tplc="454609EA" w:tentative="1">
      <w:start w:val="1"/>
      <w:numFmt w:val="decimal"/>
      <w:lvlText w:val="%4."/>
      <w:lvlJc w:val="left"/>
      <w:pPr>
        <w:ind w:left="2880" w:hanging="360"/>
      </w:pPr>
    </w:lvl>
    <w:lvl w:ilvl="4" w:tplc="9954AE68" w:tentative="1">
      <w:start w:val="1"/>
      <w:numFmt w:val="lowerLetter"/>
      <w:lvlText w:val="%5."/>
      <w:lvlJc w:val="left"/>
      <w:pPr>
        <w:ind w:left="3600" w:hanging="360"/>
      </w:pPr>
    </w:lvl>
    <w:lvl w:ilvl="5" w:tplc="6B7831A8" w:tentative="1">
      <w:start w:val="1"/>
      <w:numFmt w:val="lowerRoman"/>
      <w:lvlText w:val="%6."/>
      <w:lvlJc w:val="right"/>
      <w:pPr>
        <w:ind w:left="4320" w:hanging="180"/>
      </w:pPr>
    </w:lvl>
    <w:lvl w:ilvl="6" w:tplc="6380BA30" w:tentative="1">
      <w:start w:val="1"/>
      <w:numFmt w:val="decimal"/>
      <w:lvlText w:val="%7."/>
      <w:lvlJc w:val="left"/>
      <w:pPr>
        <w:ind w:left="5040" w:hanging="360"/>
      </w:pPr>
    </w:lvl>
    <w:lvl w:ilvl="7" w:tplc="6812FD6E" w:tentative="1">
      <w:start w:val="1"/>
      <w:numFmt w:val="lowerLetter"/>
      <w:lvlText w:val="%8."/>
      <w:lvlJc w:val="left"/>
      <w:pPr>
        <w:ind w:left="5760" w:hanging="360"/>
      </w:pPr>
    </w:lvl>
    <w:lvl w:ilvl="8" w:tplc="18024D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C5C92"/>
    <w:multiLevelType w:val="hybridMultilevel"/>
    <w:tmpl w:val="27B259EC"/>
    <w:lvl w:ilvl="0" w:tplc="894A7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0E21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AE6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413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E4AC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2A41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583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B06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403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C532A6"/>
    <w:multiLevelType w:val="hybridMultilevel"/>
    <w:tmpl w:val="B1B0633E"/>
    <w:lvl w:ilvl="0" w:tplc="2582502E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49B06BB8" w:tentative="1">
      <w:start w:val="1"/>
      <w:numFmt w:val="lowerLetter"/>
      <w:lvlText w:val="%2."/>
      <w:lvlJc w:val="left"/>
      <w:pPr>
        <w:ind w:left="1440" w:hanging="360"/>
      </w:pPr>
    </w:lvl>
    <w:lvl w:ilvl="2" w:tplc="0ADC0C2C" w:tentative="1">
      <w:start w:val="1"/>
      <w:numFmt w:val="lowerRoman"/>
      <w:lvlText w:val="%3."/>
      <w:lvlJc w:val="right"/>
      <w:pPr>
        <w:ind w:left="2160" w:hanging="180"/>
      </w:pPr>
    </w:lvl>
    <w:lvl w:ilvl="3" w:tplc="681212E0" w:tentative="1">
      <w:start w:val="1"/>
      <w:numFmt w:val="decimal"/>
      <w:lvlText w:val="%4."/>
      <w:lvlJc w:val="left"/>
      <w:pPr>
        <w:ind w:left="2880" w:hanging="360"/>
      </w:pPr>
    </w:lvl>
    <w:lvl w:ilvl="4" w:tplc="76622C9C" w:tentative="1">
      <w:start w:val="1"/>
      <w:numFmt w:val="lowerLetter"/>
      <w:lvlText w:val="%5."/>
      <w:lvlJc w:val="left"/>
      <w:pPr>
        <w:ind w:left="3600" w:hanging="360"/>
      </w:pPr>
    </w:lvl>
    <w:lvl w:ilvl="5" w:tplc="BB204082" w:tentative="1">
      <w:start w:val="1"/>
      <w:numFmt w:val="lowerRoman"/>
      <w:lvlText w:val="%6."/>
      <w:lvlJc w:val="right"/>
      <w:pPr>
        <w:ind w:left="4320" w:hanging="180"/>
      </w:pPr>
    </w:lvl>
    <w:lvl w:ilvl="6" w:tplc="254AD746" w:tentative="1">
      <w:start w:val="1"/>
      <w:numFmt w:val="decimal"/>
      <w:lvlText w:val="%7."/>
      <w:lvlJc w:val="left"/>
      <w:pPr>
        <w:ind w:left="5040" w:hanging="360"/>
      </w:pPr>
    </w:lvl>
    <w:lvl w:ilvl="7" w:tplc="5A76DD66" w:tentative="1">
      <w:start w:val="1"/>
      <w:numFmt w:val="lowerLetter"/>
      <w:lvlText w:val="%8."/>
      <w:lvlJc w:val="left"/>
      <w:pPr>
        <w:ind w:left="5760" w:hanging="360"/>
      </w:pPr>
    </w:lvl>
    <w:lvl w:ilvl="8" w:tplc="563A50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23459"/>
    <w:multiLevelType w:val="hybridMultilevel"/>
    <w:tmpl w:val="92845490"/>
    <w:lvl w:ilvl="0" w:tplc="CDDC0B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7AD6D648" w:tentative="1">
      <w:start w:val="1"/>
      <w:numFmt w:val="lowerLetter"/>
      <w:lvlText w:val="%2."/>
      <w:lvlJc w:val="left"/>
      <w:pPr>
        <w:ind w:left="1440" w:hanging="360"/>
      </w:pPr>
    </w:lvl>
    <w:lvl w:ilvl="2" w:tplc="33384296" w:tentative="1">
      <w:start w:val="1"/>
      <w:numFmt w:val="lowerRoman"/>
      <w:lvlText w:val="%3."/>
      <w:lvlJc w:val="right"/>
      <w:pPr>
        <w:ind w:left="2160" w:hanging="180"/>
      </w:pPr>
    </w:lvl>
    <w:lvl w:ilvl="3" w:tplc="C6B45B80" w:tentative="1">
      <w:start w:val="1"/>
      <w:numFmt w:val="decimal"/>
      <w:lvlText w:val="%4."/>
      <w:lvlJc w:val="left"/>
      <w:pPr>
        <w:ind w:left="2880" w:hanging="360"/>
      </w:pPr>
    </w:lvl>
    <w:lvl w:ilvl="4" w:tplc="D08E845C" w:tentative="1">
      <w:start w:val="1"/>
      <w:numFmt w:val="lowerLetter"/>
      <w:lvlText w:val="%5."/>
      <w:lvlJc w:val="left"/>
      <w:pPr>
        <w:ind w:left="3600" w:hanging="360"/>
      </w:pPr>
    </w:lvl>
    <w:lvl w:ilvl="5" w:tplc="3A8EE79A" w:tentative="1">
      <w:start w:val="1"/>
      <w:numFmt w:val="lowerRoman"/>
      <w:lvlText w:val="%6."/>
      <w:lvlJc w:val="right"/>
      <w:pPr>
        <w:ind w:left="4320" w:hanging="180"/>
      </w:pPr>
    </w:lvl>
    <w:lvl w:ilvl="6" w:tplc="A8F08C04" w:tentative="1">
      <w:start w:val="1"/>
      <w:numFmt w:val="decimal"/>
      <w:lvlText w:val="%7."/>
      <w:lvlJc w:val="left"/>
      <w:pPr>
        <w:ind w:left="5040" w:hanging="360"/>
      </w:pPr>
    </w:lvl>
    <w:lvl w:ilvl="7" w:tplc="DB4A6362" w:tentative="1">
      <w:start w:val="1"/>
      <w:numFmt w:val="lowerLetter"/>
      <w:lvlText w:val="%8."/>
      <w:lvlJc w:val="left"/>
      <w:pPr>
        <w:ind w:left="5760" w:hanging="360"/>
      </w:pPr>
    </w:lvl>
    <w:lvl w:ilvl="8" w:tplc="1EBA07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723E1"/>
    <w:multiLevelType w:val="hybridMultilevel"/>
    <w:tmpl w:val="596AC7CA"/>
    <w:lvl w:ilvl="0" w:tplc="202EC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EA7740" w:tentative="1">
      <w:start w:val="1"/>
      <w:numFmt w:val="lowerLetter"/>
      <w:lvlText w:val="%2."/>
      <w:lvlJc w:val="left"/>
      <w:pPr>
        <w:ind w:left="1440" w:hanging="360"/>
      </w:pPr>
    </w:lvl>
    <w:lvl w:ilvl="2" w:tplc="75E8AAE4" w:tentative="1">
      <w:start w:val="1"/>
      <w:numFmt w:val="lowerRoman"/>
      <w:lvlText w:val="%3."/>
      <w:lvlJc w:val="right"/>
      <w:pPr>
        <w:ind w:left="2160" w:hanging="180"/>
      </w:pPr>
    </w:lvl>
    <w:lvl w:ilvl="3" w:tplc="8F3A4F18" w:tentative="1">
      <w:start w:val="1"/>
      <w:numFmt w:val="decimal"/>
      <w:lvlText w:val="%4."/>
      <w:lvlJc w:val="left"/>
      <w:pPr>
        <w:ind w:left="2880" w:hanging="360"/>
      </w:pPr>
    </w:lvl>
    <w:lvl w:ilvl="4" w:tplc="A710B2A0" w:tentative="1">
      <w:start w:val="1"/>
      <w:numFmt w:val="lowerLetter"/>
      <w:lvlText w:val="%5."/>
      <w:lvlJc w:val="left"/>
      <w:pPr>
        <w:ind w:left="3600" w:hanging="360"/>
      </w:pPr>
    </w:lvl>
    <w:lvl w:ilvl="5" w:tplc="43569C86" w:tentative="1">
      <w:start w:val="1"/>
      <w:numFmt w:val="lowerRoman"/>
      <w:lvlText w:val="%6."/>
      <w:lvlJc w:val="right"/>
      <w:pPr>
        <w:ind w:left="4320" w:hanging="180"/>
      </w:pPr>
    </w:lvl>
    <w:lvl w:ilvl="6" w:tplc="364C88AE" w:tentative="1">
      <w:start w:val="1"/>
      <w:numFmt w:val="decimal"/>
      <w:lvlText w:val="%7."/>
      <w:lvlJc w:val="left"/>
      <w:pPr>
        <w:ind w:left="5040" w:hanging="360"/>
      </w:pPr>
    </w:lvl>
    <w:lvl w:ilvl="7" w:tplc="FA24FDB4" w:tentative="1">
      <w:start w:val="1"/>
      <w:numFmt w:val="lowerLetter"/>
      <w:lvlText w:val="%8."/>
      <w:lvlJc w:val="left"/>
      <w:pPr>
        <w:ind w:left="5760" w:hanging="360"/>
      </w:pPr>
    </w:lvl>
    <w:lvl w:ilvl="8" w:tplc="A8F8B8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513CB7"/>
    <w:multiLevelType w:val="hybridMultilevel"/>
    <w:tmpl w:val="EE0830A2"/>
    <w:lvl w:ilvl="0" w:tplc="88E67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9A9C94" w:tentative="1">
      <w:start w:val="1"/>
      <w:numFmt w:val="lowerLetter"/>
      <w:lvlText w:val="%2."/>
      <w:lvlJc w:val="left"/>
      <w:pPr>
        <w:ind w:left="1440" w:hanging="360"/>
      </w:pPr>
    </w:lvl>
    <w:lvl w:ilvl="2" w:tplc="871246F6" w:tentative="1">
      <w:start w:val="1"/>
      <w:numFmt w:val="lowerRoman"/>
      <w:lvlText w:val="%3."/>
      <w:lvlJc w:val="right"/>
      <w:pPr>
        <w:ind w:left="2160" w:hanging="180"/>
      </w:pPr>
    </w:lvl>
    <w:lvl w:ilvl="3" w:tplc="CE5403F4" w:tentative="1">
      <w:start w:val="1"/>
      <w:numFmt w:val="decimal"/>
      <w:lvlText w:val="%4."/>
      <w:lvlJc w:val="left"/>
      <w:pPr>
        <w:ind w:left="2880" w:hanging="360"/>
      </w:pPr>
    </w:lvl>
    <w:lvl w:ilvl="4" w:tplc="F7262870" w:tentative="1">
      <w:start w:val="1"/>
      <w:numFmt w:val="lowerLetter"/>
      <w:lvlText w:val="%5."/>
      <w:lvlJc w:val="left"/>
      <w:pPr>
        <w:ind w:left="3600" w:hanging="360"/>
      </w:pPr>
    </w:lvl>
    <w:lvl w:ilvl="5" w:tplc="BA5AB480" w:tentative="1">
      <w:start w:val="1"/>
      <w:numFmt w:val="lowerRoman"/>
      <w:lvlText w:val="%6."/>
      <w:lvlJc w:val="right"/>
      <w:pPr>
        <w:ind w:left="4320" w:hanging="180"/>
      </w:pPr>
    </w:lvl>
    <w:lvl w:ilvl="6" w:tplc="0482673C" w:tentative="1">
      <w:start w:val="1"/>
      <w:numFmt w:val="decimal"/>
      <w:lvlText w:val="%7."/>
      <w:lvlJc w:val="left"/>
      <w:pPr>
        <w:ind w:left="5040" w:hanging="360"/>
      </w:pPr>
    </w:lvl>
    <w:lvl w:ilvl="7" w:tplc="FACE6758" w:tentative="1">
      <w:start w:val="1"/>
      <w:numFmt w:val="lowerLetter"/>
      <w:lvlText w:val="%8."/>
      <w:lvlJc w:val="left"/>
      <w:pPr>
        <w:ind w:left="5760" w:hanging="360"/>
      </w:pPr>
    </w:lvl>
    <w:lvl w:ilvl="8" w:tplc="1A5A4B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5E520C"/>
    <w:multiLevelType w:val="hybridMultilevel"/>
    <w:tmpl w:val="9EFE19D8"/>
    <w:lvl w:ilvl="0" w:tplc="B8B6D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DE68DA" w:tentative="1">
      <w:start w:val="1"/>
      <w:numFmt w:val="lowerLetter"/>
      <w:lvlText w:val="%2."/>
      <w:lvlJc w:val="left"/>
      <w:pPr>
        <w:ind w:left="1440" w:hanging="360"/>
      </w:pPr>
    </w:lvl>
    <w:lvl w:ilvl="2" w:tplc="07A81224" w:tentative="1">
      <w:start w:val="1"/>
      <w:numFmt w:val="lowerRoman"/>
      <w:lvlText w:val="%3."/>
      <w:lvlJc w:val="right"/>
      <w:pPr>
        <w:ind w:left="2160" w:hanging="180"/>
      </w:pPr>
    </w:lvl>
    <w:lvl w:ilvl="3" w:tplc="5D4831D8" w:tentative="1">
      <w:start w:val="1"/>
      <w:numFmt w:val="decimal"/>
      <w:lvlText w:val="%4."/>
      <w:lvlJc w:val="left"/>
      <w:pPr>
        <w:ind w:left="2880" w:hanging="360"/>
      </w:pPr>
    </w:lvl>
    <w:lvl w:ilvl="4" w:tplc="B8D8E93E" w:tentative="1">
      <w:start w:val="1"/>
      <w:numFmt w:val="lowerLetter"/>
      <w:lvlText w:val="%5."/>
      <w:lvlJc w:val="left"/>
      <w:pPr>
        <w:ind w:left="3600" w:hanging="360"/>
      </w:pPr>
    </w:lvl>
    <w:lvl w:ilvl="5" w:tplc="A928DA82" w:tentative="1">
      <w:start w:val="1"/>
      <w:numFmt w:val="lowerRoman"/>
      <w:lvlText w:val="%6."/>
      <w:lvlJc w:val="right"/>
      <w:pPr>
        <w:ind w:left="4320" w:hanging="180"/>
      </w:pPr>
    </w:lvl>
    <w:lvl w:ilvl="6" w:tplc="339E888A" w:tentative="1">
      <w:start w:val="1"/>
      <w:numFmt w:val="decimal"/>
      <w:lvlText w:val="%7."/>
      <w:lvlJc w:val="left"/>
      <w:pPr>
        <w:ind w:left="5040" w:hanging="360"/>
      </w:pPr>
    </w:lvl>
    <w:lvl w:ilvl="7" w:tplc="86666E8C" w:tentative="1">
      <w:start w:val="1"/>
      <w:numFmt w:val="lowerLetter"/>
      <w:lvlText w:val="%8."/>
      <w:lvlJc w:val="left"/>
      <w:pPr>
        <w:ind w:left="5760" w:hanging="360"/>
      </w:pPr>
    </w:lvl>
    <w:lvl w:ilvl="8" w:tplc="5F1879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2"/>
  </w:num>
  <w:num w:numId="6">
    <w:abstractNumId w:val="5"/>
  </w:num>
  <w:num w:numId="7">
    <w:abstractNumId w:val="13"/>
  </w:num>
  <w:num w:numId="8">
    <w:abstractNumId w:val="11"/>
  </w:num>
  <w:num w:numId="9">
    <w:abstractNumId w:val="8"/>
  </w:num>
  <w:num w:numId="10">
    <w:abstractNumId w:val="4"/>
  </w:num>
  <w:num w:numId="11">
    <w:abstractNumId w:val="10"/>
  </w:num>
  <w:num w:numId="12">
    <w:abstractNumId w:val="9"/>
  </w:num>
  <w:num w:numId="13">
    <w:abstractNumId w:val="1"/>
  </w:num>
  <w:num w:numId="1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</w:style>
  <w:style w:type="character" w:customStyle="1" w:styleId="normaltextrun">
    <w:name w:val="normaltextrun"/>
  </w:style>
  <w:style w:type="character" w:customStyle="1" w:styleId="Ttulo1Char">
    <w:name w:val="Título 1 Char"/>
    <w:basedOn w:val="Fontepargpadro"/>
    <w:link w:val="Ttulo1"/>
    <w:uiPriority w:val="9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nhideWhenUsed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Refdecomentrio">
    <w:name w:val="annotation reference"/>
    <w:uiPriority w:val="99"/>
    <w:semiHidden/>
    <w:unhideWhenUsed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Pr>
      <w:rFonts w:ascii="Calibri" w:eastAsia="Calibri" w:hAnsi="Calibri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NormalWeb">
    <w:name w:val="Normal (Web)"/>
    <w:basedOn w:val="Normal"/>
    <w:uiPriority w:val="99"/>
    <w:pPr>
      <w:spacing w:beforeLines="1" w:afterLines="1"/>
    </w:pPr>
    <w:rPr>
      <w:rFonts w:ascii="Times" w:hAnsi="Times"/>
      <w:sz w:val="20"/>
      <w:szCs w:val="20"/>
      <w:lang w:val="en-GB"/>
    </w:rPr>
  </w:style>
  <w:style w:type="paragraph" w:styleId="Textodenotaderodap">
    <w:name w:val="footnote text"/>
    <w:basedOn w:val="Normal"/>
    <w:link w:val="TextodenotaderodapChar"/>
    <w:uiPriority w:val="99"/>
    <w:unhideWhenUsed/>
  </w:style>
  <w:style w:type="character" w:customStyle="1" w:styleId="TextodenotaderodapChar">
    <w:name w:val="Texto de nota de rodapé Char"/>
    <w:basedOn w:val="Fontepargpadro"/>
    <w:link w:val="Textodenotaderodap"/>
    <w:uiPriority w:val="99"/>
    <w:rPr>
      <w:rFonts w:ascii="Calibri" w:eastAsia="Calibri" w:hAnsi="Calibri" w:cs="Times New Roman"/>
      <w:sz w:val="24"/>
      <w:szCs w:val="24"/>
    </w:rPr>
  </w:style>
  <w:style w:type="character" w:styleId="Refdenotaderodap">
    <w:name w:val="footnote reference"/>
    <w:uiPriority w:val="99"/>
    <w:unhideWhenUsed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Ttulo2"/>
    <w:next w:val="Normal"/>
    <w:link w:val="CCCMcontentheading2Char"/>
    <w:qFormat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grafodaLista">
    <w:name w:val="List Paragraph"/>
    <w:aliases w:val="Premier"/>
    <w:basedOn w:val="Normal"/>
    <w:link w:val="PargrafodaListaChar"/>
    <w:uiPriority w:val="34"/>
    <w:qFormat/>
    <w:pPr>
      <w:ind w:left="720"/>
      <w:contextualSpacing/>
    </w:pPr>
  </w:style>
  <w:style w:type="table" w:styleId="Tabelacomgrade">
    <w:name w:val="Table Grid"/>
    <w:basedOn w:val="Tabe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Pr>
      <w:color w:val="954F72" w:themeColor="followedHyperlink"/>
      <w:u w:val="single"/>
    </w:rPr>
  </w:style>
  <w:style w:type="paragraph" w:customStyle="1" w:styleId="CCCMcontentheading3">
    <w:name w:val="CCCM_content_heading3"/>
    <w:basedOn w:val="Ttulo3"/>
    <w:next w:val="Normal"/>
    <w:pPr>
      <w:pBdr>
        <w:top w:val="nil"/>
        <w:left w:val="nil"/>
        <w:bottom w:val="single" w:sz="2" w:space="1" w:color="CCCCCC"/>
        <w:right w:val="nil"/>
      </w:pBdr>
      <w:suppressAutoHyphens/>
      <w:spacing w:before="200"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CCCMcontenttext">
    <w:name w:val="CCCM_content_text"/>
    <w:pPr>
      <w:suppressAutoHyphens/>
      <w:spacing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CCMbulletpoint">
    <w:name w:val="CCCM_bullet_point"/>
    <w:pPr>
      <w:numPr>
        <w:numId w:val="3"/>
      </w:numPr>
      <w:suppressAutoHyphens/>
      <w:spacing w:before="100" w:after="10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PargrafodaListaChar">
    <w:name w:val="Parágrafo da Lista Char"/>
    <w:aliases w:val="Premier Char"/>
    <w:link w:val="PargrafodaLista"/>
    <w:uiPriority w:val="34"/>
    <w:rPr>
      <w:rFonts w:ascii="Calibri" w:eastAsia="Calibri" w:hAnsi="Calibri" w:cs="Times New Roman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GradeMdia1-nfase2">
    <w:name w:val="Medium Grid 1 Accent 2"/>
    <w:basedOn w:val="Tabelanormal"/>
    <w:uiPriority w:val="67"/>
    <w:semiHidden/>
    <w:unhideWhenUsed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7A36D-B880-4E0B-8A77-89CF696407AE}">
  <ds:schemaRefs>
    <ds:schemaRef ds:uri="72eb3475-e0f4-42fd-ab5c-abe08d673cdb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4d2685e0-3ec3-4526-a337-bc02c6b3961c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2A790-B810-4389-AF57-39BD885E0178}">
  <ds:schemaRefs/>
</ds:datastoreItem>
</file>

<file path=customXml/itemProps4.xml><?xml version="1.0" encoding="utf-8"?>
<ds:datastoreItem xmlns:ds="http://schemas.openxmlformats.org/officeDocument/2006/customXml" ds:itemID="{49EC9D51-99A8-44B6-A1CE-04EABB952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US0823953</dc:title>
  <dc:creator/>
  <cp:lastModifiedBy/>
  <cp:revision>10</cp:revision>
  <cp:lastPrinted>2018-09-13T11:16:00Z</cp:lastPrinted>
  <dcterms:created xsi:type="dcterms:W3CDTF">2019-01-18T14:51:00Z</dcterms:created>
  <dcterms:modified xsi:type="dcterms:W3CDTF">2020-10-30T20:09:00Z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12</vt:lpwstr>
  </property>
  <property fmtid="{D5CDD505-2E9C-101B-9397-08002B2CF9AE}" pid="3" name="ComplianceAssetId">
    <vt:lpwstr/>
  </property>
  <property fmtid="{D5CDD505-2E9C-101B-9397-08002B2CF9AE}" pid="4" name="ContentTypeId">
    <vt:lpwstr>0x0101002311F0AB4D861F4989F82902B990608D</vt:lpwstr>
  </property>
  <property fmtid="{D5CDD505-2E9C-101B-9397-08002B2CF9AE}" pid="5" name="Order">
    <vt:r8>586400</vt:r8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xd_Signature">
    <vt:bool>false</vt:bool>
  </property>
  <property fmtid="{D5CDD505-2E9C-101B-9397-08002B2CF9AE}" pid="9" name="_SharedFileIndex">
    <vt:lpwstr/>
  </property>
  <property fmtid="{D5CDD505-2E9C-101B-9397-08002B2CF9AE}" pid="10" name="_SourceUrl">
    <vt:lpwstr/>
  </property>
</Properties>
</file>