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61434" w14:textId="77777777" w:rsidR="002A4D73" w:rsidRDefault="00F13375">
      <w:pPr>
        <w:spacing w:line="276" w:lineRule="auto"/>
        <w:rPr>
          <w:rFonts w:asciiTheme="minorHAnsi" w:hAnsiTheme="minorHAnsi" w:cstheme="minorHAnsi"/>
          <w:b/>
          <w:bCs/>
          <w:color w:val="2A87C8"/>
          <w:sz w:val="44"/>
          <w:szCs w:val="44"/>
          <w:lang w:val="pt-BR"/>
        </w:rPr>
      </w:pPr>
      <w:bookmarkStart w:id="0" w:name="_Hlk522527111"/>
      <w:bookmarkStart w:id="1" w:name="_GoBack"/>
      <w:bookmarkEnd w:id="1"/>
      <w:r>
        <w:rPr>
          <w:rFonts w:cs="Calibri"/>
          <w:b/>
          <w:bCs/>
          <w:color w:val="2A87C8"/>
          <w:sz w:val="44"/>
          <w:szCs w:val="44"/>
          <w:lang w:val="pt-BR"/>
        </w:rPr>
        <w:t>Funções e responsabilidades</w:t>
      </w:r>
    </w:p>
    <w:p w14:paraId="6C561435" w14:textId="77777777" w:rsidR="002A4D73" w:rsidRDefault="00F13375">
      <w:pPr>
        <w:spacing w:line="276" w:lineRule="auto"/>
        <w:rPr>
          <w:rFonts w:asciiTheme="minorHAnsi" w:hAnsiTheme="minorHAnsi" w:cstheme="minorHAnsi"/>
          <w:b/>
          <w:bCs/>
          <w:color w:val="2A87C8"/>
          <w:sz w:val="44"/>
          <w:szCs w:val="44"/>
          <w:lang w:val="pt-BR"/>
        </w:rPr>
      </w:pPr>
      <w:r>
        <w:rPr>
          <w:rFonts w:cs="Calibri"/>
          <w:b/>
          <w:bCs/>
          <w:color w:val="2A87C8"/>
          <w:sz w:val="44"/>
          <w:szCs w:val="44"/>
          <w:lang w:val="pt-BR"/>
        </w:rPr>
        <w:t>MÓDULO 2</w:t>
      </w:r>
    </w:p>
    <w:p w14:paraId="6C561436" w14:textId="77777777" w:rsidR="002A4D73" w:rsidRDefault="002A4D73">
      <w:pPr>
        <w:spacing w:line="276" w:lineRule="auto"/>
        <w:rPr>
          <w:rFonts w:asciiTheme="minorHAnsi" w:hAnsiTheme="minorHAnsi" w:cstheme="minorHAnsi"/>
          <w:b/>
          <w:color w:val="5B9BD5"/>
          <w:sz w:val="28"/>
          <w:szCs w:val="28"/>
          <w:lang w:val="pt-BR"/>
        </w:rPr>
      </w:pPr>
    </w:p>
    <w:p w14:paraId="6C561437" w14:textId="77777777" w:rsidR="002A4D73" w:rsidRDefault="00F13375">
      <w:pPr>
        <w:spacing w:line="276" w:lineRule="auto"/>
        <w:rPr>
          <w:rFonts w:asciiTheme="minorHAnsi" w:hAnsiTheme="minorHAnsi" w:cstheme="minorHAnsi"/>
          <w:b/>
          <w:bCs/>
          <w:sz w:val="36"/>
          <w:szCs w:val="36"/>
          <w:lang w:val="pt-BR"/>
        </w:rPr>
      </w:pPr>
      <w:r>
        <w:rPr>
          <w:rFonts w:cs="Calibri"/>
          <w:b/>
          <w:bCs/>
          <w:sz w:val="36"/>
          <w:szCs w:val="36"/>
          <w:lang w:val="pt-BR"/>
        </w:rPr>
        <w:t>Pasta de referência</w:t>
      </w:r>
    </w:p>
    <w:p w14:paraId="6C561438" w14:textId="77777777" w:rsidR="002A4D73" w:rsidRDefault="002A4D73">
      <w:pPr>
        <w:spacing w:line="276" w:lineRule="auto"/>
        <w:rPr>
          <w:rFonts w:asciiTheme="minorHAnsi" w:hAnsiTheme="minorHAnsi" w:cstheme="minorHAnsi"/>
          <w:b/>
          <w:sz w:val="36"/>
          <w:szCs w:val="36"/>
          <w:lang w:val="pt-BR"/>
        </w:rPr>
      </w:pPr>
    </w:p>
    <w:p w14:paraId="6C561439" w14:textId="77777777" w:rsidR="002A4D73" w:rsidRDefault="00F13375">
      <w:pPr>
        <w:spacing w:line="276" w:lineRule="auto"/>
        <w:rPr>
          <w:rFonts w:asciiTheme="minorHAnsi" w:hAnsiTheme="minorHAnsi" w:cstheme="minorHAnsi"/>
          <w:b/>
          <w:bCs/>
          <w:color w:val="2A87C8"/>
          <w:sz w:val="28"/>
          <w:szCs w:val="28"/>
          <w:lang w:val="en-GB"/>
        </w:rPr>
      </w:pPr>
      <w:r>
        <w:rPr>
          <w:rFonts w:cs="Calibri"/>
          <w:b/>
          <w:bCs/>
          <w:color w:val="2A87C8"/>
          <w:sz w:val="28"/>
          <w:szCs w:val="28"/>
          <w:lang w:val="pt-BR"/>
        </w:rPr>
        <w:t>Conteúdo</w:t>
      </w:r>
    </w:p>
    <w:p w14:paraId="6C56143A" w14:textId="77777777" w:rsidR="002A4D73" w:rsidRDefault="00F13375">
      <w:pPr>
        <w:pStyle w:val="ListParagraph"/>
        <w:numPr>
          <w:ilvl w:val="0"/>
          <w:numId w:val="8"/>
        </w:numPr>
        <w:rPr>
          <w:b/>
          <w:lang w:val="en-GB"/>
        </w:rPr>
      </w:pPr>
      <w:r>
        <w:rPr>
          <w:b/>
          <w:bCs/>
          <w:lang w:val="pt-BR"/>
        </w:rPr>
        <w:t>Introdução</w:t>
      </w:r>
    </w:p>
    <w:p w14:paraId="6C56143B" w14:textId="77777777" w:rsidR="002A4D73" w:rsidRDefault="00F13375">
      <w:pPr>
        <w:pStyle w:val="ListParagraph"/>
        <w:numPr>
          <w:ilvl w:val="0"/>
          <w:numId w:val="8"/>
        </w:numPr>
        <w:rPr>
          <w:b/>
          <w:lang w:val="en-GB"/>
        </w:rPr>
      </w:pPr>
      <w:r>
        <w:rPr>
          <w:b/>
          <w:bCs/>
          <w:lang w:val="pt-BR"/>
        </w:rPr>
        <w:t>Objetivos de aprendizagem</w:t>
      </w:r>
    </w:p>
    <w:p w14:paraId="6C56143C" w14:textId="77777777" w:rsidR="002A4D73" w:rsidRDefault="00F13375">
      <w:pPr>
        <w:pStyle w:val="ListParagraph"/>
        <w:numPr>
          <w:ilvl w:val="0"/>
          <w:numId w:val="8"/>
        </w:numPr>
        <w:rPr>
          <w:b/>
          <w:lang w:val="en-GB"/>
        </w:rPr>
      </w:pPr>
      <w:r>
        <w:rPr>
          <w:b/>
          <w:bCs/>
          <w:lang w:val="pt-BR"/>
        </w:rPr>
        <w:t>Informações básicas</w:t>
      </w:r>
    </w:p>
    <w:p w14:paraId="6C56143D" w14:textId="77777777" w:rsidR="002A4D73" w:rsidRDefault="00F13375">
      <w:pPr>
        <w:pStyle w:val="ListParagraph"/>
        <w:numPr>
          <w:ilvl w:val="0"/>
          <w:numId w:val="8"/>
        </w:numPr>
        <w:rPr>
          <w:b/>
          <w:lang w:val="en-GB"/>
        </w:rPr>
      </w:pPr>
      <w:r>
        <w:rPr>
          <w:b/>
          <w:bCs/>
          <w:lang w:val="pt-BR"/>
        </w:rPr>
        <w:t>Referências e ferramentas</w:t>
      </w:r>
    </w:p>
    <w:p w14:paraId="6C56143E" w14:textId="77777777" w:rsidR="002A4D73" w:rsidRDefault="00F13375">
      <w:pPr>
        <w:pStyle w:val="ListParagraph"/>
        <w:numPr>
          <w:ilvl w:val="0"/>
          <w:numId w:val="8"/>
        </w:numPr>
        <w:rPr>
          <w:b/>
          <w:lang w:val="en-GB"/>
        </w:rPr>
      </w:pPr>
      <w:r>
        <w:rPr>
          <w:b/>
          <w:bCs/>
          <w:lang w:val="pt-BR"/>
        </w:rPr>
        <w:t>Acompanhamento operacional (indicadores)</w:t>
      </w:r>
    </w:p>
    <w:bookmarkEnd w:id="0"/>
    <w:p w14:paraId="6C56143F" w14:textId="77777777" w:rsidR="002A4D73" w:rsidRDefault="002A4D73">
      <w:pPr>
        <w:rPr>
          <w:rFonts w:asciiTheme="minorHAnsi" w:hAnsiTheme="minorHAnsi" w:cstheme="minorHAnsi"/>
          <w:color w:val="5B9BD5"/>
          <w:sz w:val="28"/>
          <w:szCs w:val="28"/>
          <w:lang w:val="en-GB"/>
        </w:rPr>
      </w:pPr>
    </w:p>
    <w:p w14:paraId="6C561440" w14:textId="77777777" w:rsidR="002A4D73" w:rsidRDefault="00F13375">
      <w:pPr>
        <w:rPr>
          <w:rStyle w:val="normaltextrun"/>
          <w:rFonts w:asciiTheme="minorHAnsi" w:hAnsiTheme="minorHAnsi" w:cstheme="minorHAnsi"/>
          <w:b/>
          <w:bCs/>
          <w:color w:val="2A87C8"/>
          <w:sz w:val="28"/>
          <w:szCs w:val="28"/>
          <w:lang w:val="en-GB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Introdução</w:t>
      </w:r>
    </w:p>
    <w:p w14:paraId="6C561441" w14:textId="77777777" w:rsidR="002A4D73" w:rsidRDefault="00F13375">
      <w:pPr>
        <w:jc w:val="both"/>
        <w:rPr>
          <w:rFonts w:asciiTheme="minorHAnsi" w:hAnsiTheme="minorHAnsi" w:cstheme="minorHAnsi"/>
          <w:lang w:val="pt-BR"/>
        </w:rPr>
      </w:pPr>
      <w:r>
        <w:rPr>
          <w:rFonts w:cs="Calibri"/>
          <w:lang w:val="pt-BR"/>
        </w:rPr>
        <w:t>Este módulo detalha as funções e responsabilidades da Agência de Gestão de Acampamento e suas principais atribuições ao longo do ciclo de vida do local. Analisa o que a equipe que trabalha em acampamento deve fazer e o que deve esperar dos demais (ou seja,</w:t>
      </w:r>
      <w:r>
        <w:rPr>
          <w:rFonts w:cs="Calibri"/>
          <w:lang w:val="pt-BR"/>
        </w:rPr>
        <w:t xml:space="preserve"> contrapartes locais e nacionais). Aborda como a Agência de Gestão de Acampamento deve colocar essas responsabilidades em vigor durante todo o ciclo de vida do acampamento, até que o local seja fechado e o abrigo temporário não seja mais necessário. </w:t>
      </w:r>
    </w:p>
    <w:p w14:paraId="6C561442" w14:textId="77777777" w:rsidR="002A4D73" w:rsidRDefault="002A4D73">
      <w:pPr>
        <w:jc w:val="both"/>
        <w:rPr>
          <w:rFonts w:asciiTheme="minorHAnsi" w:hAnsiTheme="minorHAnsi" w:cstheme="minorHAnsi"/>
          <w:lang w:val="pt-BR"/>
        </w:rPr>
      </w:pPr>
    </w:p>
    <w:p w14:paraId="6C561443" w14:textId="77777777" w:rsidR="002A4D73" w:rsidRDefault="00F13375">
      <w:pPr>
        <w:jc w:val="both"/>
        <w:rPr>
          <w:rFonts w:asciiTheme="minorHAnsi" w:hAnsiTheme="minorHAnsi" w:cstheme="minorHAnsi"/>
          <w:lang w:val="pt-BR"/>
        </w:rPr>
      </w:pPr>
      <w:r>
        <w:rPr>
          <w:rFonts w:cs="Calibri"/>
          <w:lang w:val="pt-BR"/>
        </w:rPr>
        <w:t xml:space="preserve">Os gestores de acampamentos e suas equipes estão na linha de frente auxiliando pessoas deslocadas e, portanto, têm mais condições de prevenir a violência baseada em gênero em estruturas de acampamentos. Este módulo visa a incentivar as partes interessadas </w:t>
      </w:r>
      <w:r>
        <w:rPr>
          <w:rFonts w:cs="Calibri"/>
          <w:lang w:val="pt-BR"/>
        </w:rPr>
        <w:t xml:space="preserve">humanitárias a tomar todas as medidas necessárias para promover a proteção em suas funções e estruturas. </w:t>
      </w:r>
    </w:p>
    <w:p w14:paraId="6C561444" w14:textId="77777777" w:rsidR="002A4D73" w:rsidRDefault="002A4D73">
      <w:pPr>
        <w:jc w:val="both"/>
        <w:rPr>
          <w:rFonts w:asciiTheme="minorHAnsi" w:hAnsiTheme="minorHAnsi" w:cstheme="minorHAnsi"/>
          <w:szCs w:val="28"/>
          <w:lang w:val="pt-BR"/>
        </w:rPr>
      </w:pPr>
    </w:p>
    <w:p w14:paraId="6C561445" w14:textId="77777777" w:rsidR="002A4D73" w:rsidRDefault="00F13375">
      <w:pPr>
        <w:rPr>
          <w:rStyle w:val="normaltextrun"/>
          <w:rFonts w:asciiTheme="minorHAnsi" w:hAnsiTheme="minorHAnsi" w:cstheme="minorHAnsi"/>
          <w:b/>
          <w:bCs/>
          <w:color w:val="2A87C8"/>
          <w:sz w:val="28"/>
          <w:szCs w:val="28"/>
          <w:lang w:val="en-GB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Objetivos de aprendizagem</w:t>
      </w:r>
    </w:p>
    <w:p w14:paraId="6C561446" w14:textId="77777777" w:rsidR="002A4D73" w:rsidRDefault="00F13375">
      <w:pPr>
        <w:pStyle w:val="ListParagraph"/>
        <w:numPr>
          <w:ilvl w:val="0"/>
          <w:numId w:val="7"/>
        </w:numPr>
        <w:rPr>
          <w:lang w:val="pt-BR"/>
        </w:rPr>
      </w:pPr>
      <w:r>
        <w:rPr>
          <w:lang w:val="pt-BR"/>
        </w:rPr>
        <w:t xml:space="preserve">Fornecer informações básicas sobre a diferença entre os papéis do Estado e das autoridades (locais, nacionais) na resposta </w:t>
      </w:r>
      <w:r>
        <w:rPr>
          <w:lang w:val="pt-BR"/>
        </w:rPr>
        <w:t xml:space="preserve">a emergências. </w:t>
      </w:r>
    </w:p>
    <w:p w14:paraId="6C561447" w14:textId="77777777" w:rsidR="002A4D73" w:rsidRDefault="00F13375">
      <w:pPr>
        <w:pStyle w:val="ListParagraph"/>
        <w:numPr>
          <w:ilvl w:val="0"/>
          <w:numId w:val="7"/>
        </w:numPr>
        <w:rPr>
          <w:color w:val="000000"/>
          <w:lang w:val="pt-BR"/>
        </w:rPr>
      </w:pPr>
      <w:bookmarkStart w:id="2" w:name="_Hlk525633473"/>
      <w:r>
        <w:rPr>
          <w:color w:val="000000"/>
          <w:lang w:val="pt-BR"/>
        </w:rPr>
        <w:t xml:space="preserve">Explicar os métodos para ativar o Grupo de CCCM e elaborar diferentes funções de liderança onde os acampamentos são necessários como soluções temporárias de abrigo. </w:t>
      </w:r>
    </w:p>
    <w:bookmarkEnd w:id="2"/>
    <w:p w14:paraId="6C561448" w14:textId="77777777" w:rsidR="002A4D73" w:rsidRDefault="00F13375">
      <w:pPr>
        <w:pStyle w:val="ListParagraph"/>
        <w:numPr>
          <w:ilvl w:val="0"/>
          <w:numId w:val="7"/>
        </w:numPr>
        <w:rPr>
          <w:color w:val="000000"/>
          <w:lang w:val="pt-BR"/>
        </w:rPr>
      </w:pPr>
      <w:r>
        <w:rPr>
          <w:color w:val="000000"/>
          <w:lang w:val="pt-BR"/>
        </w:rPr>
        <w:t>Explicar as funções e responsabilidades da administração de acampamento, c</w:t>
      </w:r>
      <w:r>
        <w:rPr>
          <w:color w:val="000000"/>
          <w:lang w:val="pt-BR"/>
        </w:rPr>
        <w:t xml:space="preserve">oordenação de acampamento e gestão de acampamento, e como elas são compartilhadas durante as diferentes fases do ciclo de vida do acampamento.  </w:t>
      </w:r>
    </w:p>
    <w:p w14:paraId="6C561449" w14:textId="77777777" w:rsidR="002A4D73" w:rsidRDefault="00F13375">
      <w:pPr>
        <w:pStyle w:val="ListParagraph"/>
        <w:numPr>
          <w:ilvl w:val="0"/>
          <w:numId w:val="7"/>
        </w:numPr>
        <w:rPr>
          <w:color w:val="000000"/>
        </w:rPr>
      </w:pPr>
      <w:bookmarkStart w:id="3" w:name="_Hlk525640425"/>
      <w:r>
        <w:rPr>
          <w:color w:val="000000"/>
          <w:lang w:val="pt-BR"/>
        </w:rPr>
        <w:t>Comparar como diferentes agências têm dividido as funções e responsabilidades em suas Equipes de Gestão de Acam</w:t>
      </w:r>
      <w:r>
        <w:rPr>
          <w:color w:val="000000"/>
          <w:lang w:val="pt-BR"/>
        </w:rPr>
        <w:t>pamentos</w:t>
      </w:r>
      <w:bookmarkEnd w:id="3"/>
      <w:r>
        <w:rPr>
          <w:color w:val="000000"/>
          <w:lang w:val="pt-BR"/>
        </w:rPr>
        <w:t xml:space="preserve">. </w:t>
      </w:r>
      <w:r>
        <w:rPr>
          <w:color w:val="2A87C8"/>
          <w:lang w:val="pt-BR"/>
        </w:rPr>
        <w:t xml:space="preserve">(4 atividades para escolher dependendo dos perfis dos participantes) </w:t>
      </w:r>
    </w:p>
    <w:p w14:paraId="6C56144A" w14:textId="77777777" w:rsidR="002A4D73" w:rsidRDefault="00F13375">
      <w:pPr>
        <w:pStyle w:val="ListParagraph"/>
        <w:numPr>
          <w:ilvl w:val="0"/>
          <w:numId w:val="7"/>
        </w:numPr>
        <w:rPr>
          <w:color w:val="000000"/>
          <w:lang w:val="pt-BR"/>
        </w:rPr>
      </w:pPr>
      <w:bookmarkStart w:id="4" w:name="_Hlk525650081"/>
      <w:r>
        <w:rPr>
          <w:color w:val="000000"/>
          <w:lang w:val="pt-BR"/>
        </w:rPr>
        <w:lastRenderedPageBreak/>
        <w:t>Identificar áreas em que há falta de clareza sobre as funções e responsabilidades (no contexto em que você está trabalhando), e trabalhar para alcançar um entendimento e acordo</w:t>
      </w:r>
      <w:r>
        <w:rPr>
          <w:color w:val="000000"/>
          <w:lang w:val="pt-BR"/>
        </w:rPr>
        <w:t xml:space="preserve"> comuns. </w:t>
      </w:r>
    </w:p>
    <w:bookmarkEnd w:id="4"/>
    <w:p w14:paraId="6C56144B" w14:textId="77777777" w:rsidR="002A4D73" w:rsidRDefault="00F13375">
      <w:pPr>
        <w:pStyle w:val="ListParagraph"/>
        <w:rPr>
          <w:color w:val="0070C0"/>
          <w:lang w:val="pt-BR"/>
        </w:rPr>
      </w:pPr>
      <w:r>
        <w:rPr>
          <w:color w:val="0070C0"/>
          <w:lang w:val="pt-BR"/>
        </w:rPr>
        <w:t>(Atividade apenas para contexto operacional)</w:t>
      </w:r>
    </w:p>
    <w:p w14:paraId="6C56144C" w14:textId="77777777" w:rsidR="002A4D73" w:rsidRDefault="00F13375">
      <w:pPr>
        <w:pStyle w:val="ListParagraph"/>
        <w:numPr>
          <w:ilvl w:val="0"/>
          <w:numId w:val="7"/>
        </w:numPr>
        <w:rPr>
          <w:color w:val="000000"/>
          <w:lang w:val="pt-BR"/>
        </w:rPr>
      </w:pPr>
      <w:r>
        <w:rPr>
          <w:color w:val="000000"/>
          <w:lang w:val="pt-BR"/>
        </w:rPr>
        <w:t xml:space="preserve">Mapear agentes </w:t>
      </w:r>
      <w:r>
        <w:rPr>
          <w:color w:val="0070C0"/>
          <w:lang w:val="pt-BR"/>
        </w:rPr>
        <w:t>(Atividade apenas para contexto operacional)</w:t>
      </w:r>
    </w:p>
    <w:p w14:paraId="6C56144D" w14:textId="34EA022C" w:rsidR="002A4D73" w:rsidRPr="00F13375" w:rsidRDefault="00F13375">
      <w:pPr>
        <w:pStyle w:val="ListParagraph"/>
        <w:numPr>
          <w:ilvl w:val="0"/>
          <w:numId w:val="7"/>
        </w:numPr>
        <w:rPr>
          <w:color w:val="000000"/>
          <w:lang w:val="es-419"/>
        </w:rPr>
      </w:pPr>
      <w:bookmarkStart w:id="5" w:name="_Hlk525651995"/>
      <w:r>
        <w:rPr>
          <w:color w:val="000000"/>
          <w:lang w:val="pt-BR"/>
        </w:rPr>
        <w:t>Planejar medidas eficazes de prevenção e mitigação de VBG</w:t>
      </w:r>
      <w:r>
        <w:rPr>
          <w:color w:val="000000"/>
          <w:lang w:val="pt-BR"/>
        </w:rPr>
        <w:t xml:space="preserve"> a serem implementadas em um acampamento ao longo do ciclo de vida. Identificar quem</w:t>
      </w:r>
      <w:r>
        <w:rPr>
          <w:color w:val="000000"/>
          <w:lang w:val="pt-BR"/>
        </w:rPr>
        <w:t xml:space="preserve"> será responsável por implementar essas ações.  </w:t>
      </w:r>
    </w:p>
    <w:bookmarkEnd w:id="5"/>
    <w:p w14:paraId="6C56144E" w14:textId="77777777" w:rsidR="002A4D73" w:rsidRPr="00F13375" w:rsidRDefault="002A4D73">
      <w:pPr>
        <w:rPr>
          <w:rFonts w:asciiTheme="minorHAnsi" w:hAnsiTheme="minorHAnsi" w:cstheme="minorHAnsi"/>
          <w:sz w:val="22"/>
          <w:szCs w:val="22"/>
          <w:lang w:val="es-419"/>
        </w:rPr>
      </w:pPr>
    </w:p>
    <w:p w14:paraId="6C56144F" w14:textId="77777777" w:rsidR="002A4D73" w:rsidRDefault="00F13375">
      <w:pPr>
        <w:ind w:right="-46"/>
        <w:jc w:val="both"/>
        <w:rPr>
          <w:rStyle w:val="normaltextrun"/>
          <w:rFonts w:asciiTheme="minorHAnsi" w:hAnsiTheme="minorHAnsi" w:cstheme="minorHAnsi"/>
          <w:b/>
          <w:bCs/>
          <w:color w:val="2A87C8"/>
          <w:sz w:val="28"/>
          <w:szCs w:val="28"/>
          <w:lang w:val="en-GB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Informações básicas</w:t>
      </w:r>
    </w:p>
    <w:p w14:paraId="6C561450" w14:textId="77777777" w:rsidR="002A4D73" w:rsidRDefault="002A4D73">
      <w:pPr>
        <w:ind w:right="-46"/>
        <w:jc w:val="both"/>
        <w:rPr>
          <w:rFonts w:asciiTheme="minorHAnsi" w:hAnsiTheme="minorHAnsi" w:cstheme="minorHAnsi"/>
          <w:b/>
          <w:bCs/>
          <w:color w:val="5B9BD5" w:themeColor="accent1"/>
          <w:lang w:val="en-GB"/>
        </w:rPr>
      </w:pPr>
    </w:p>
    <w:p w14:paraId="6C561451" w14:textId="77777777" w:rsidR="002A4D73" w:rsidRDefault="00F1337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  <w:color w:val="2A87C8"/>
          <w:lang w:val="pt-BR"/>
        </w:rPr>
      </w:pPr>
      <w:r>
        <w:rPr>
          <w:rFonts w:cs="Calibri"/>
          <w:b/>
          <w:bCs/>
          <w:i/>
          <w:iCs/>
          <w:color w:val="2A87C8"/>
          <w:lang w:val="pt-BR"/>
        </w:rPr>
        <w:t>Funções dos Estados em resposta a emergências</w:t>
      </w:r>
    </w:p>
    <w:p w14:paraId="6C561452" w14:textId="77777777" w:rsidR="002A4D73" w:rsidRDefault="00F13375">
      <w:pPr>
        <w:pStyle w:val="NormalWeb"/>
        <w:spacing w:before="2" w:after="2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pt-BR"/>
        </w:rPr>
      </w:pPr>
      <w:r>
        <w:rPr>
          <w:rFonts w:ascii="Calibri" w:hAnsi="Calibri" w:cs="Calibri"/>
          <w:color w:val="000000"/>
          <w:sz w:val="24"/>
          <w:szCs w:val="24"/>
          <w:lang w:val="pt-BR"/>
        </w:rPr>
        <w:t xml:space="preserve">O papel dos Estados é claramente reconhecido na lei e nas principais declarações de princípio. De acordo com a principal resolução humanitária da ONU, </w:t>
      </w:r>
      <w:r>
        <w:fldChar w:fldCharType="begin"/>
      </w:r>
      <w:r w:rsidRPr="00F13375">
        <w:rPr>
          <w:lang w:val="es-419"/>
        </w:rPr>
        <w:instrText xml:space="preserve"> HYPERLINK "http://www.un.org/documents/ga/res/46/a46r182.htm" </w:instrText>
      </w:r>
      <w:r>
        <w:fldChar w:fldCharType="separate"/>
      </w:r>
      <w:r>
        <w:rPr>
          <w:rFonts w:ascii="Calibri" w:hAnsi="Calibri" w:cs="Calibri"/>
          <w:color w:val="000000"/>
          <w:sz w:val="24"/>
          <w:szCs w:val="24"/>
          <w:lang w:val="pt-BR"/>
        </w:rPr>
        <w:t>Resolução 46/182 de 1991</w:t>
      </w:r>
      <w:r>
        <w:rPr>
          <w:rFonts w:ascii="Calibri" w:hAnsi="Calibri" w:cs="Calibri"/>
          <w:color w:val="000000"/>
          <w:sz w:val="24"/>
          <w:szCs w:val="24"/>
          <w:lang w:val="pt-BR"/>
        </w:rPr>
        <w:fldChar w:fldCharType="end"/>
      </w:r>
      <w:r>
        <w:rPr>
          <w:rFonts w:ascii="Calibri" w:hAnsi="Calibri" w:cs="Calibri"/>
          <w:color w:val="000000"/>
          <w:sz w:val="24"/>
          <w:szCs w:val="24"/>
          <w:lang w:val="pt-BR"/>
        </w:rPr>
        <w:t>, o Estado afet</w:t>
      </w:r>
      <w:r>
        <w:rPr>
          <w:rFonts w:ascii="Calibri" w:hAnsi="Calibri" w:cs="Calibri"/>
          <w:color w:val="000000"/>
          <w:sz w:val="24"/>
          <w:szCs w:val="24"/>
          <w:lang w:val="pt-BR"/>
        </w:rPr>
        <w:t>ado “desempenha o papel principal na introdução, organização, coordenação e implementação de assistência humanitária dentro de seu território”. Da mesma forma, as Diretrizes da Esfera “reconhecem o papel e a responsabilidade principais do Estado de fornece</w:t>
      </w:r>
      <w:r>
        <w:rPr>
          <w:rFonts w:ascii="Calibri" w:hAnsi="Calibri" w:cs="Calibri"/>
          <w:color w:val="000000"/>
          <w:sz w:val="24"/>
          <w:szCs w:val="24"/>
          <w:lang w:val="pt-BR"/>
        </w:rPr>
        <w:t xml:space="preserve">r assistência quando a capacidade das pessoas de lidar com a situação tiver se exaurido”. </w:t>
      </w:r>
    </w:p>
    <w:p w14:paraId="6C561453" w14:textId="77777777" w:rsidR="002A4D73" w:rsidRDefault="002A4D73">
      <w:pPr>
        <w:pStyle w:val="NormalWeb"/>
        <w:spacing w:before="2" w:after="2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pt-BR"/>
        </w:rPr>
      </w:pPr>
    </w:p>
    <w:p w14:paraId="6C561454" w14:textId="77777777" w:rsidR="002A4D73" w:rsidRDefault="00F13375">
      <w:pPr>
        <w:jc w:val="both"/>
        <w:rPr>
          <w:rFonts w:asciiTheme="minorHAnsi" w:hAnsiTheme="minorHAnsi" w:cstheme="minorHAnsi"/>
          <w:color w:val="000000" w:themeColor="text1"/>
          <w:lang w:val="pt-BR"/>
        </w:rPr>
      </w:pPr>
      <w:r>
        <w:rPr>
          <w:rFonts w:cs="Calibri"/>
          <w:color w:val="000000"/>
          <w:lang w:val="pt-BR"/>
        </w:rPr>
        <w:t>As autoridades locais são frequentemente os primeiros respondentes a enfrentar uma crise. Em algumas circunstâncias, elas serão responsáveis por todas as três funçõ</w:t>
      </w:r>
      <w:r>
        <w:rPr>
          <w:rFonts w:cs="Calibri"/>
          <w:color w:val="000000"/>
          <w:lang w:val="pt-BR"/>
        </w:rPr>
        <w:t>es dentro da estrutura de CCCM (administração, coordenação e gestão). Em outras circunstâncias, os governos nacionais podem solicitar a assistência de agências externas ou do grupo de CCCM para apoiar conjuntamente a liderança da resposta a emergências.</w:t>
      </w:r>
    </w:p>
    <w:p w14:paraId="6C561455" w14:textId="77777777" w:rsidR="002A4D73" w:rsidRDefault="002A4D7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u w:val="single"/>
          <w:lang w:val="pt-BR"/>
        </w:rPr>
      </w:pPr>
    </w:p>
    <w:p w14:paraId="6C561456" w14:textId="77777777" w:rsidR="002A4D73" w:rsidRDefault="00F13375">
      <w:pPr>
        <w:rPr>
          <w:rStyle w:val="normaltextrun"/>
          <w:rFonts w:asciiTheme="minorHAnsi" w:hAnsiTheme="minorHAnsi" w:cstheme="minorHAns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Principais mensagens</w:t>
      </w:r>
    </w:p>
    <w:p w14:paraId="6C561457" w14:textId="77777777" w:rsidR="002A4D73" w:rsidRDefault="00F13375">
      <w:pPr>
        <w:jc w:val="both"/>
        <w:rPr>
          <w:rStyle w:val="normaltextrun"/>
          <w:rFonts w:asciiTheme="minorHAnsi" w:hAnsiTheme="minorHAnsi" w:cstheme="minorHAnsi"/>
          <w:bCs/>
          <w:color w:val="2A87C8"/>
          <w:lang w:val="pt-BR"/>
        </w:rPr>
      </w:pPr>
      <w:bookmarkStart w:id="6" w:name="_Hlk525626970"/>
      <w:r>
        <w:rPr>
          <w:rStyle w:val="normaltextrun"/>
          <w:rFonts w:cs="Calibri"/>
          <w:bCs/>
          <w:color w:val="2A87C8"/>
          <w:lang w:val="pt-BR"/>
        </w:rPr>
        <w:t xml:space="preserve">Os Estados Afetados desempenham o </w:t>
      </w:r>
      <w:r>
        <w:rPr>
          <w:rStyle w:val="normaltextrun"/>
          <w:rFonts w:cs="Calibri"/>
          <w:b/>
          <w:bCs/>
          <w:color w:val="2A87C8"/>
          <w:lang w:val="pt-BR"/>
        </w:rPr>
        <w:t>papel principal</w:t>
      </w:r>
      <w:r>
        <w:rPr>
          <w:rStyle w:val="normaltextrun"/>
          <w:rFonts w:cs="Calibri"/>
          <w:color w:val="2A87C8"/>
          <w:lang w:val="pt-BR"/>
        </w:rPr>
        <w:t xml:space="preserve"> na introdução, organização, coordenação e implementação de assistência humanitária dentro de seu território. </w:t>
      </w:r>
    </w:p>
    <w:p w14:paraId="6C561458" w14:textId="77777777" w:rsidR="002A4D73" w:rsidRDefault="002A4D73">
      <w:pPr>
        <w:jc w:val="both"/>
        <w:rPr>
          <w:rStyle w:val="normaltextrun"/>
          <w:rFonts w:asciiTheme="minorHAnsi" w:hAnsiTheme="minorHAnsi" w:cstheme="minorHAnsi"/>
          <w:bCs/>
          <w:color w:val="2A87C8"/>
          <w:lang w:val="pt-BR"/>
        </w:rPr>
      </w:pPr>
    </w:p>
    <w:p w14:paraId="6C561459" w14:textId="77777777" w:rsidR="002A4D73" w:rsidRDefault="00F13375">
      <w:pPr>
        <w:jc w:val="both"/>
        <w:rPr>
          <w:rStyle w:val="normaltextrun"/>
          <w:rFonts w:asciiTheme="minorHAnsi" w:hAnsiTheme="minorHAnsi" w:cstheme="minorHAnsi"/>
          <w:bCs/>
          <w:color w:val="2A87C8"/>
          <w:lang w:val="pt-BR"/>
        </w:rPr>
      </w:pPr>
      <w:r>
        <w:rPr>
          <w:rStyle w:val="normaltextrun"/>
          <w:rFonts w:cs="Calibri"/>
          <w:bCs/>
          <w:color w:val="2A87C8"/>
          <w:lang w:val="pt-BR"/>
        </w:rPr>
        <w:t>As responsabilidades dos Estados são</w:t>
      </w:r>
      <w:r>
        <w:rPr>
          <w:rStyle w:val="normaltextrun"/>
          <w:rFonts w:cs="Calibri"/>
          <w:b/>
          <w:bCs/>
          <w:color w:val="2A87C8"/>
          <w:lang w:val="pt-BR"/>
        </w:rPr>
        <w:t xml:space="preserve"> intransferíveis</w:t>
      </w:r>
      <w:r>
        <w:rPr>
          <w:rStyle w:val="normaltextrun"/>
          <w:rFonts w:cs="Calibri"/>
          <w:color w:val="2A87C8"/>
          <w:lang w:val="pt-BR"/>
        </w:rPr>
        <w:t>. Todos os Estados sob</w:t>
      </w:r>
      <w:r>
        <w:rPr>
          <w:rStyle w:val="normaltextrun"/>
          <w:rFonts w:cs="Calibri"/>
          <w:color w:val="2A87C8"/>
          <w:lang w:val="pt-BR"/>
        </w:rPr>
        <w:t xml:space="preserve">eranos têm o dever de cumprir suas obrigações para com seus cidadãos, mesmo em períodos de crise. </w:t>
      </w:r>
    </w:p>
    <w:bookmarkEnd w:id="6"/>
    <w:p w14:paraId="6C56145A" w14:textId="77777777" w:rsidR="002A4D73" w:rsidRDefault="002A4D7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u w:val="single"/>
          <w:lang w:val="pt-BR"/>
        </w:rPr>
      </w:pPr>
    </w:p>
    <w:p w14:paraId="6C56145B" w14:textId="77777777" w:rsidR="002A4D73" w:rsidRDefault="00F1337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  <w:color w:val="2A87C8"/>
          <w:lang w:val="pt-BR"/>
        </w:rPr>
      </w:pPr>
      <w:r>
        <w:rPr>
          <w:rFonts w:cs="Calibri"/>
          <w:b/>
          <w:bCs/>
          <w:i/>
          <w:iCs/>
          <w:color w:val="2A87C8"/>
          <w:lang w:val="pt-BR"/>
        </w:rPr>
        <w:t>Grupo de CCCM</w:t>
      </w:r>
      <w:r>
        <w:rPr>
          <w:rFonts w:cs="Calibri"/>
          <w:b/>
          <w:bCs/>
          <w:i/>
          <w:iCs/>
          <w:color w:val="2A87C8"/>
          <w:lang w:val="pt-BR"/>
        </w:rPr>
        <w:tab/>
      </w:r>
      <w:r>
        <w:rPr>
          <w:rFonts w:cs="Calibri"/>
          <w:b/>
          <w:bCs/>
          <w:i/>
          <w:iCs/>
          <w:color w:val="2A87C8"/>
          <w:lang w:val="pt-BR"/>
        </w:rPr>
        <w:tab/>
      </w:r>
      <w:r>
        <w:rPr>
          <w:rFonts w:cs="Calibri"/>
          <w:b/>
          <w:bCs/>
          <w:i/>
          <w:iCs/>
          <w:color w:val="2A87C8"/>
          <w:lang w:val="pt-BR"/>
        </w:rPr>
        <w:tab/>
      </w:r>
      <w:r>
        <w:rPr>
          <w:rFonts w:cs="Calibri"/>
          <w:b/>
          <w:bCs/>
          <w:i/>
          <w:iCs/>
          <w:color w:val="2A87C8"/>
          <w:lang w:val="pt-BR"/>
        </w:rPr>
        <w:tab/>
      </w:r>
      <w:r>
        <w:rPr>
          <w:rFonts w:cs="Calibri"/>
          <w:b/>
          <w:bCs/>
          <w:i/>
          <w:iCs/>
          <w:color w:val="2A87C8"/>
          <w:lang w:val="pt-BR"/>
        </w:rPr>
        <w:tab/>
      </w:r>
      <w:r>
        <w:rPr>
          <w:rFonts w:cs="Calibri"/>
          <w:b/>
          <w:bCs/>
          <w:i/>
          <w:iCs/>
          <w:color w:val="2A87C8"/>
          <w:lang w:val="pt-BR"/>
        </w:rPr>
        <w:tab/>
      </w:r>
      <w:r>
        <w:rPr>
          <w:rFonts w:cs="Calibri"/>
          <w:b/>
          <w:bCs/>
          <w:i/>
          <w:iCs/>
          <w:color w:val="2A87C8"/>
          <w:lang w:val="pt-BR"/>
        </w:rPr>
        <w:tab/>
      </w:r>
      <w:r>
        <w:rPr>
          <w:rFonts w:cs="Calibri"/>
          <w:b/>
          <w:bCs/>
          <w:i/>
          <w:iCs/>
          <w:color w:val="2A87C8"/>
          <w:lang w:val="pt-BR"/>
        </w:rPr>
        <w:tab/>
        <w:t xml:space="preserve">    </w:t>
      </w:r>
      <w:r>
        <w:rPr>
          <w:rFonts w:cs="Calibri"/>
          <w:b/>
          <w:bCs/>
          <w:i/>
          <w:iCs/>
          <w:color w:val="C00000"/>
          <w:lang w:val="pt-BR"/>
        </w:rPr>
        <w:t>TÓPICO OPCIONAL</w:t>
      </w:r>
    </w:p>
    <w:p w14:paraId="6C56145C" w14:textId="77777777" w:rsidR="002A4D73" w:rsidRDefault="00F1337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lang w:val="pt-BR"/>
        </w:rPr>
      </w:pPr>
      <w:r>
        <w:rPr>
          <w:rFonts w:cs="Calibri"/>
          <w:color w:val="000000"/>
          <w:lang w:val="pt-BR"/>
        </w:rPr>
        <w:t xml:space="preserve">Apresentada no módulo Coordenação, a </w:t>
      </w:r>
      <w:r>
        <w:rPr>
          <w:rFonts w:cs="Calibri"/>
          <w:b/>
          <w:bCs/>
          <w:color w:val="000000"/>
          <w:lang w:val="pt-BR"/>
        </w:rPr>
        <w:t>abordagem de grupo</w:t>
      </w:r>
      <w:r>
        <w:rPr>
          <w:rFonts w:cs="Calibri"/>
          <w:color w:val="000000"/>
          <w:lang w:val="pt-BR"/>
        </w:rPr>
        <w:t xml:space="preserve"> é o mecanismo de coordenação padrão usado pelas agências humanitárias da ONU e seus parceiros internacionais. A abordagem de grupo pode ser ativada quando uma crise humanitária sobrecarrega as capacidades nacionais de resposta e envolve deslocamento inter</w:t>
      </w:r>
      <w:r>
        <w:rPr>
          <w:rFonts w:cs="Calibri"/>
          <w:color w:val="000000"/>
          <w:lang w:val="pt-BR"/>
        </w:rPr>
        <w:t>no. Grupos relevantes, incluindo o grupo de CCCM, quando necessário, podem apoiar ou complementar as autoridades nacionais em termos de resposta e prevenção. Nenhum mecanismo paralelo deve ser criado, o que pode enfraquecer ou prejudicar os esforços nacion</w:t>
      </w:r>
      <w:r>
        <w:rPr>
          <w:rFonts w:cs="Calibri"/>
          <w:color w:val="000000"/>
          <w:lang w:val="pt-BR"/>
        </w:rPr>
        <w:t xml:space="preserve">ais. </w:t>
      </w:r>
    </w:p>
    <w:p w14:paraId="6C56145D" w14:textId="77777777" w:rsidR="002A4D73" w:rsidRDefault="002A4D73">
      <w:pPr>
        <w:pStyle w:val="CCCMcontenttext"/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pt-BR"/>
        </w:rPr>
      </w:pPr>
    </w:p>
    <w:p w14:paraId="6C56145E" w14:textId="77777777" w:rsidR="002A4D73" w:rsidRDefault="00F13375">
      <w:pPr>
        <w:pStyle w:val="CCCMcontenttext"/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pt-BR"/>
        </w:rPr>
      </w:pPr>
      <w:r>
        <w:rPr>
          <w:rFonts w:eastAsia="Calibri" w:cs="Calibri"/>
          <w:color w:val="000000"/>
          <w:sz w:val="24"/>
          <w:szCs w:val="24"/>
          <w:lang w:val="pt-BR"/>
        </w:rPr>
        <w:t>Após a crise, as autoridades nacionais, juntamente com o coordenador residente ou humanitário (</w:t>
      </w:r>
      <w:r>
        <w:rPr>
          <w:rFonts w:eastAsia="Calibri" w:cs="Calibri"/>
          <w:i/>
          <w:iCs/>
          <w:color w:val="000000"/>
          <w:sz w:val="24"/>
          <w:szCs w:val="24"/>
          <w:lang w:val="pt-BR"/>
        </w:rPr>
        <w:t>Resident/Humanitarian Coordinator</w:t>
      </w:r>
      <w:r>
        <w:rPr>
          <w:rFonts w:eastAsia="Calibri" w:cs="Calibri"/>
          <w:color w:val="000000"/>
          <w:sz w:val="24"/>
          <w:szCs w:val="24"/>
          <w:lang w:val="pt-BR"/>
        </w:rPr>
        <w:t xml:space="preserve">, RC/HC), as agências líderes do grupo e o OCHA avaliarão a </w:t>
      </w:r>
      <w:r>
        <w:rPr>
          <w:rFonts w:eastAsia="Calibri" w:cs="Calibri"/>
          <w:color w:val="000000"/>
          <w:sz w:val="24"/>
          <w:szCs w:val="24"/>
          <w:lang w:val="pt-BR"/>
        </w:rPr>
        <w:lastRenderedPageBreak/>
        <w:t>capacidade existente e os mecanismos de coordenação disponíve</w:t>
      </w:r>
      <w:r>
        <w:rPr>
          <w:rFonts w:eastAsia="Calibri" w:cs="Calibri"/>
          <w:color w:val="000000"/>
          <w:sz w:val="24"/>
          <w:szCs w:val="24"/>
          <w:lang w:val="pt-BR"/>
        </w:rPr>
        <w:t>is para a resposta humanitária. As autoridades nacionais podem solicitar assistência internacional, incluindo suporte técnico ou operacional dos respectivos grupos se não tiverem capacidade e recursos suficientes para lidar com a situação ou não tiverem co</w:t>
      </w:r>
      <w:r>
        <w:rPr>
          <w:rFonts w:eastAsia="Calibri" w:cs="Calibri"/>
          <w:color w:val="000000"/>
          <w:sz w:val="24"/>
          <w:szCs w:val="24"/>
          <w:lang w:val="pt-BR"/>
        </w:rPr>
        <w:t>ndições de acessar regiões do país. O HC pode, então, recomendar a ativação do grupo ao Coordenador de Resposta a Emergências (</w:t>
      </w:r>
      <w:r>
        <w:rPr>
          <w:rFonts w:eastAsia="Calibri" w:cs="Calibri"/>
          <w:i/>
          <w:iCs/>
          <w:color w:val="000000"/>
          <w:sz w:val="24"/>
          <w:szCs w:val="24"/>
          <w:lang w:val="pt-BR"/>
        </w:rPr>
        <w:t>Emergency Response Coordinator</w:t>
      </w:r>
      <w:r>
        <w:rPr>
          <w:rFonts w:eastAsia="Calibri" w:cs="Calibri"/>
          <w:color w:val="000000"/>
          <w:sz w:val="24"/>
          <w:szCs w:val="24"/>
          <w:lang w:val="pt-BR"/>
        </w:rPr>
        <w:t xml:space="preserve">, ERC). </w:t>
      </w:r>
    </w:p>
    <w:p w14:paraId="6C56145F" w14:textId="77777777" w:rsidR="002A4D73" w:rsidRDefault="002A4D73">
      <w:pPr>
        <w:pStyle w:val="CCCMcontenttext"/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pt-BR"/>
        </w:rPr>
      </w:pPr>
    </w:p>
    <w:p w14:paraId="6C561460" w14:textId="77777777" w:rsidR="002A4D73" w:rsidRDefault="00F13375">
      <w:pPr>
        <w:rPr>
          <w:rFonts w:asciiTheme="minorHAnsi" w:hAnsiTheme="minorHAnsi" w:cstheme="minorHAns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Principais mensagens</w:t>
      </w:r>
    </w:p>
    <w:p w14:paraId="6C561461" w14:textId="77777777" w:rsidR="002A4D73" w:rsidRDefault="00F13375">
      <w:pPr>
        <w:rPr>
          <w:rStyle w:val="normaltextrun"/>
          <w:rFonts w:asciiTheme="minorHAnsi" w:hAnsiTheme="minorHAnsi" w:cstheme="minorHAnsi"/>
          <w:bCs/>
          <w:color w:val="2A87C8"/>
          <w:lang w:val="pt-BR"/>
        </w:rPr>
      </w:pPr>
      <w:r>
        <w:rPr>
          <w:rStyle w:val="normaltextrun"/>
          <w:rFonts w:cs="Calibri"/>
          <w:bCs/>
          <w:color w:val="2A87C8"/>
          <w:lang w:val="pt-BR"/>
        </w:rPr>
        <w:t>As</w:t>
      </w:r>
      <w:r>
        <w:rPr>
          <w:rStyle w:val="normaltextrun"/>
          <w:rFonts w:cs="Calibri"/>
          <w:b/>
          <w:bCs/>
          <w:color w:val="2A87C8"/>
          <w:lang w:val="pt-BR"/>
        </w:rPr>
        <w:t xml:space="preserve"> parcerias </w:t>
      </w:r>
      <w:r>
        <w:rPr>
          <w:rStyle w:val="normaltextrun"/>
          <w:rFonts w:cs="Calibri"/>
          <w:color w:val="2A87C8"/>
          <w:lang w:val="pt-BR"/>
        </w:rPr>
        <w:t>entre agentes de acampamentos (ou seja, agências humani</w:t>
      </w:r>
      <w:r>
        <w:rPr>
          <w:rStyle w:val="normaltextrun"/>
          <w:rFonts w:cs="Calibri"/>
          <w:color w:val="2A87C8"/>
          <w:lang w:val="pt-BR"/>
        </w:rPr>
        <w:t xml:space="preserve">tárias, autoridades nacionais, setor privado, voluntários locais etc.) são essenciais para garantir a proteção e a assistência das pessoas afetadas pelo deslocamento. </w:t>
      </w:r>
    </w:p>
    <w:p w14:paraId="6C561462" w14:textId="77777777" w:rsidR="002A4D73" w:rsidRDefault="002A4D73">
      <w:pPr>
        <w:rPr>
          <w:rStyle w:val="normaltextrun"/>
          <w:rFonts w:asciiTheme="minorHAnsi" w:hAnsiTheme="minorHAnsi" w:cstheme="minorHAnsi"/>
          <w:bCs/>
          <w:color w:val="2A87C8"/>
          <w:lang w:val="pt-BR"/>
        </w:rPr>
      </w:pPr>
    </w:p>
    <w:p w14:paraId="6C561463" w14:textId="77777777" w:rsidR="002A4D73" w:rsidRDefault="00F13375">
      <w:pPr>
        <w:rPr>
          <w:rStyle w:val="normaltextrun"/>
          <w:rFonts w:asciiTheme="minorHAnsi" w:hAnsiTheme="minorHAnsi" w:cstheme="minorHAns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Cs/>
          <w:color w:val="2A87C8"/>
          <w:lang w:val="pt-BR"/>
        </w:rPr>
        <w:t xml:space="preserve">A resposta da CCCM </w:t>
      </w:r>
      <w:r>
        <w:rPr>
          <w:rStyle w:val="normaltextrun"/>
          <w:rFonts w:cs="Calibri"/>
          <w:b/>
          <w:bCs/>
          <w:color w:val="2A87C8"/>
          <w:lang w:val="pt-BR"/>
        </w:rPr>
        <w:t xml:space="preserve">deve ser baseada em estruturas administrativas nacionais, </w:t>
      </w:r>
      <w:r>
        <w:rPr>
          <w:rStyle w:val="normaltextrun"/>
          <w:rFonts w:cs="Calibri"/>
          <w:color w:val="2A87C8"/>
          <w:lang w:val="pt-BR"/>
        </w:rPr>
        <w:t xml:space="preserve">onde elas são funcionais, e os agentes humanitários precisam apoiar ao </w:t>
      </w:r>
      <w:r>
        <w:rPr>
          <w:rStyle w:val="normaltextrun"/>
          <w:rFonts w:cs="Calibri"/>
          <w:b/>
          <w:bCs/>
          <w:color w:val="2A87C8"/>
          <w:lang w:val="pt-BR"/>
        </w:rPr>
        <w:t>desenvolver capacidades</w:t>
      </w:r>
      <w:r>
        <w:rPr>
          <w:rStyle w:val="normaltextrun"/>
          <w:rFonts w:cs="Calibri"/>
          <w:color w:val="2A87C8"/>
          <w:lang w:val="pt-BR"/>
        </w:rPr>
        <w:t xml:space="preserve"> quando necessário. </w:t>
      </w:r>
    </w:p>
    <w:p w14:paraId="6C561464" w14:textId="77777777" w:rsidR="002A4D73" w:rsidRDefault="002A4D73">
      <w:pPr>
        <w:rPr>
          <w:rStyle w:val="normaltextrun"/>
          <w:rFonts w:asciiTheme="minorHAnsi" w:hAnsiTheme="minorHAnsi" w:cstheme="minorHAnsi"/>
          <w:b/>
          <w:bCs/>
          <w:color w:val="2A87C8"/>
          <w:sz w:val="28"/>
          <w:szCs w:val="28"/>
          <w:lang w:val="pt-BR"/>
        </w:rPr>
      </w:pPr>
    </w:p>
    <w:p w14:paraId="6C561465" w14:textId="77777777" w:rsidR="002A4D73" w:rsidRDefault="00F13375">
      <w:pPr>
        <w:jc w:val="both"/>
        <w:rPr>
          <w:rFonts w:asciiTheme="minorHAnsi" w:hAnsiTheme="minorHAnsi" w:cstheme="minorHAnsi"/>
          <w:bCs/>
          <w:lang w:val="pt-BR"/>
        </w:rPr>
      </w:pPr>
      <w:r>
        <w:rPr>
          <w:rStyle w:val="normaltextrun"/>
          <w:rFonts w:cs="Calibri"/>
          <w:bCs/>
          <w:color w:val="2A87C8"/>
          <w:lang w:val="pt-BR"/>
        </w:rPr>
        <w:t>O processo de reforma humanitária visa a</w:t>
      </w:r>
      <w:r>
        <w:rPr>
          <w:rStyle w:val="normaltextrun"/>
          <w:rFonts w:cs="Calibri"/>
          <w:b/>
          <w:bCs/>
          <w:color w:val="2A87C8"/>
          <w:lang w:val="pt-BR"/>
        </w:rPr>
        <w:t xml:space="preserve"> fortalecer o sistema humanitário </w:t>
      </w:r>
      <w:r>
        <w:rPr>
          <w:rStyle w:val="normaltextrun"/>
          <w:rFonts w:cs="Calibri"/>
          <w:color w:val="2A87C8"/>
          <w:lang w:val="pt-BR"/>
        </w:rPr>
        <w:t xml:space="preserve">em quatro áreas principais: abordagem de grupo, fortalecimento da </w:t>
      </w:r>
      <w:r>
        <w:rPr>
          <w:rStyle w:val="normaltextrun"/>
          <w:rFonts w:cs="Calibri"/>
          <w:color w:val="2A87C8"/>
          <w:lang w:val="pt-BR"/>
        </w:rPr>
        <w:t>liderança, financiamento humanitário e parcerias.</w:t>
      </w:r>
    </w:p>
    <w:p w14:paraId="6C561466" w14:textId="77777777" w:rsidR="002A4D73" w:rsidRDefault="002A4D73">
      <w:pPr>
        <w:pStyle w:val="ListParagraph"/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pt-BR"/>
        </w:rPr>
      </w:pPr>
    </w:p>
    <w:p w14:paraId="6C561467" w14:textId="77777777" w:rsidR="002A4D73" w:rsidRDefault="00F13375">
      <w:pPr>
        <w:jc w:val="both"/>
        <w:rPr>
          <w:rFonts w:asciiTheme="minorHAnsi" w:hAnsiTheme="minorHAnsi" w:cstheme="minorHAnsi"/>
          <w:i/>
          <w:color w:val="2A87C8"/>
          <w:lang w:val="pt-BR"/>
        </w:rPr>
      </w:pPr>
      <w:r>
        <w:rPr>
          <w:rFonts w:cs="Calibri"/>
          <w:b/>
          <w:bCs/>
          <w:i/>
          <w:iCs/>
          <w:color w:val="2A87C8"/>
          <w:lang w:val="pt-BR"/>
        </w:rPr>
        <w:t>A estrutura de Coordenação e Gestão de Acampamentos (CCCM)</w:t>
      </w:r>
    </w:p>
    <w:p w14:paraId="6C561468" w14:textId="77777777" w:rsidR="002A4D73" w:rsidRDefault="00F13375">
      <w:pPr>
        <w:jc w:val="both"/>
        <w:rPr>
          <w:rFonts w:asciiTheme="minorHAnsi" w:hAnsiTheme="minorHAnsi" w:cstheme="minorHAnsi"/>
          <w:color w:val="000000" w:themeColor="text1"/>
          <w:lang w:val="pt-BR"/>
        </w:rPr>
      </w:pPr>
      <w:r>
        <w:rPr>
          <w:rFonts w:cs="Calibri"/>
          <w:color w:val="000000"/>
          <w:lang w:val="pt-BR"/>
        </w:rPr>
        <w:t>A estrutura para Coordenação e Gestão de Acampamentos é uma visão geral das funções e responsabilidades da administração de acampamento, coordenaç</w:t>
      </w:r>
      <w:r>
        <w:rPr>
          <w:rFonts w:cs="Calibri"/>
          <w:color w:val="000000"/>
          <w:lang w:val="pt-BR"/>
        </w:rPr>
        <w:t xml:space="preserve">ão de acampamento e gestão de acampamento, e como elas funcionam juntas em uma emergência, tanto em um único acampamento quanto para uma resposta nacional. </w:t>
      </w:r>
    </w:p>
    <w:p w14:paraId="6C561469" w14:textId="77777777" w:rsidR="002A4D73" w:rsidRDefault="00F13375">
      <w:pPr>
        <w:jc w:val="both"/>
        <w:rPr>
          <w:rFonts w:asciiTheme="minorHAnsi" w:hAnsiTheme="minorHAnsi" w:cstheme="minorHAnsi"/>
          <w:color w:val="000000" w:themeColor="text1"/>
          <w:lang w:val="pt-BR"/>
        </w:rPr>
      </w:pPr>
      <w:r>
        <w:rPr>
          <w:rFonts w:cs="Calibri"/>
          <w:color w:val="000000"/>
          <w:lang w:val="pt-BR"/>
        </w:rPr>
        <w:t>Na estrutura, a função de</w:t>
      </w:r>
      <w:r>
        <w:rPr>
          <w:rFonts w:cs="Calibri"/>
          <w:b/>
          <w:bCs/>
          <w:color w:val="000000"/>
          <w:lang w:val="pt-BR"/>
        </w:rPr>
        <w:t xml:space="preserve"> administrador do acampamento</w:t>
      </w:r>
      <w:r>
        <w:rPr>
          <w:rFonts w:cs="Calibri"/>
          <w:color w:val="000000"/>
          <w:lang w:val="pt-BR"/>
        </w:rPr>
        <w:t xml:space="preserve"> é simplificada para representar as responsab</w:t>
      </w:r>
      <w:r>
        <w:rPr>
          <w:rFonts w:cs="Calibri"/>
          <w:color w:val="000000"/>
          <w:lang w:val="pt-BR"/>
        </w:rPr>
        <w:t>ilidades que se enquadram em vários departamentos ou ministérios governamentais</w:t>
      </w:r>
      <w:r>
        <w:rPr>
          <w:rStyle w:val="FootnoteReference"/>
          <w:rFonts w:asciiTheme="minorHAnsi" w:hAnsiTheme="minorHAnsi" w:cstheme="minorHAnsi"/>
          <w:color w:val="000000" w:themeColor="text1"/>
        </w:rPr>
        <w:footnoteReference w:id="1"/>
      </w:r>
      <w:r>
        <w:rPr>
          <w:rFonts w:cs="Calibri"/>
          <w:color w:val="000000"/>
          <w:lang w:val="pt-BR"/>
        </w:rPr>
        <w:t xml:space="preserve"> que são responsáveis por apresentar uma estratégia nacional abordando questões jurídicas e garantindo a segurança (bem como outras assistências, que podem ser específicas do </w:t>
      </w:r>
      <w:r>
        <w:rPr>
          <w:rFonts w:cs="Calibri"/>
          <w:color w:val="000000"/>
          <w:lang w:val="pt-BR"/>
        </w:rPr>
        <w:t xml:space="preserve">contexto).  </w:t>
      </w:r>
    </w:p>
    <w:p w14:paraId="6C56146A" w14:textId="77777777" w:rsidR="002A4D73" w:rsidRDefault="002A4D73">
      <w:pPr>
        <w:jc w:val="both"/>
        <w:rPr>
          <w:rFonts w:asciiTheme="minorHAnsi" w:hAnsiTheme="minorHAnsi" w:cstheme="minorHAnsi"/>
          <w:color w:val="000000" w:themeColor="text1"/>
          <w:lang w:val="pt-BR"/>
        </w:rPr>
      </w:pPr>
    </w:p>
    <w:p w14:paraId="6C56146B" w14:textId="77777777" w:rsidR="002A4D73" w:rsidRDefault="00F13375">
      <w:pPr>
        <w:jc w:val="both"/>
        <w:rPr>
          <w:rFonts w:asciiTheme="minorHAnsi" w:hAnsiTheme="minorHAnsi" w:cstheme="minorHAnsi"/>
          <w:color w:val="000000" w:themeColor="text1"/>
          <w:lang w:val="pt-BR"/>
        </w:rPr>
      </w:pPr>
      <w:r>
        <w:rPr>
          <w:rFonts w:cs="Calibri"/>
          <w:color w:val="000000"/>
          <w:lang w:val="pt-BR"/>
        </w:rPr>
        <w:t>A responsabilidade</w:t>
      </w:r>
      <w:r>
        <w:rPr>
          <w:rFonts w:cs="Calibri"/>
          <w:b/>
          <w:bCs/>
          <w:color w:val="000000"/>
          <w:lang w:val="pt-BR"/>
        </w:rPr>
        <w:t xml:space="preserve"> do coordenador do acampamento</w:t>
      </w:r>
      <w:r>
        <w:rPr>
          <w:rFonts w:cs="Calibri"/>
          <w:color w:val="000000"/>
          <w:lang w:val="pt-BR"/>
        </w:rPr>
        <w:t xml:space="preserve"> é garantir que os mesmos padrões sejam encontrados em todos os acampamentos e estruturas semelhantes a acampamentos, enquanto um</w:t>
      </w:r>
      <w:r>
        <w:rPr>
          <w:rFonts w:cs="Calibri"/>
          <w:b/>
          <w:bCs/>
          <w:color w:val="000000"/>
          <w:lang w:val="pt-BR"/>
        </w:rPr>
        <w:t xml:space="preserve"> gestor de acampamento</w:t>
      </w:r>
      <w:r>
        <w:rPr>
          <w:rFonts w:cs="Calibri"/>
          <w:color w:val="000000"/>
          <w:lang w:val="pt-BR"/>
        </w:rPr>
        <w:t xml:space="preserve"> é a agência que coordena as atividades dentro de um único acampamento. </w:t>
      </w:r>
    </w:p>
    <w:p w14:paraId="6C56146C" w14:textId="77777777" w:rsidR="002A4D73" w:rsidRDefault="002A4D73">
      <w:pPr>
        <w:jc w:val="both"/>
        <w:rPr>
          <w:rFonts w:asciiTheme="minorHAnsi" w:hAnsiTheme="minorHAnsi" w:cstheme="minorHAnsi"/>
          <w:color w:val="000000" w:themeColor="text1"/>
          <w:lang w:val="pt-BR"/>
        </w:rPr>
      </w:pPr>
    </w:p>
    <w:p w14:paraId="6C56146D" w14:textId="77777777" w:rsidR="002A4D73" w:rsidRDefault="00F13375">
      <w:pPr>
        <w:jc w:val="both"/>
        <w:rPr>
          <w:rFonts w:asciiTheme="minorHAnsi" w:hAnsiTheme="minorHAnsi" w:cstheme="minorHAnsi"/>
          <w:color w:val="000000" w:themeColor="text1"/>
          <w:lang w:val="pt-BR"/>
        </w:rPr>
      </w:pPr>
      <w:r>
        <w:rPr>
          <w:rFonts w:cs="Calibri"/>
          <w:color w:val="000000"/>
          <w:lang w:val="pt-BR"/>
        </w:rPr>
        <w:t>A estrutura de CCCM nos lembra que é responsabilidade de todos defender e coordenar visando ao melhor interesse das pessoas deslocadas. O objetivo da coordenação em todos os níveis d</w:t>
      </w:r>
      <w:r>
        <w:rPr>
          <w:rFonts w:cs="Calibri"/>
          <w:color w:val="000000"/>
          <w:lang w:val="pt-BR"/>
        </w:rPr>
        <w:t>a resposta é garantir maior acesso à proteção, assistência e serviços em todos os acampamentos e estruturas semelhantes a acampamentos, estar atento ao acesso seguro e igualitário e garantir a coesão social do Estado dentro do acampamento e na comunidade a</w:t>
      </w:r>
      <w:r>
        <w:rPr>
          <w:rFonts w:cs="Calibri"/>
          <w:color w:val="000000"/>
          <w:lang w:val="pt-BR"/>
        </w:rPr>
        <w:t xml:space="preserve">nfitriã ao redor. Esse é o caso tanto em grupos formalmente ativos quanto em estruturas operacionais setoriais. </w:t>
      </w:r>
    </w:p>
    <w:p w14:paraId="6C56146E" w14:textId="77777777" w:rsidR="002A4D73" w:rsidRDefault="002A4D73">
      <w:pPr>
        <w:jc w:val="both"/>
        <w:rPr>
          <w:rFonts w:asciiTheme="minorHAnsi" w:hAnsiTheme="minorHAnsi" w:cstheme="minorHAnsi"/>
          <w:color w:val="000000" w:themeColor="text1"/>
          <w:lang w:val="pt-BR"/>
        </w:rPr>
      </w:pPr>
    </w:p>
    <w:p w14:paraId="6C56146F" w14:textId="77777777" w:rsidR="002A4D73" w:rsidRDefault="00F13375">
      <w:pPr>
        <w:rPr>
          <w:rStyle w:val="normaltextrun"/>
          <w:rFonts w:asciiTheme="minorHAnsi" w:hAnsiTheme="minorHAnsi" w:cstheme="minorHAns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Principais mensagens</w:t>
      </w:r>
    </w:p>
    <w:p w14:paraId="6C561470" w14:textId="77777777" w:rsidR="002A4D73" w:rsidRDefault="00F1337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2A87C8"/>
          <w:lang w:val="pt-BR"/>
        </w:rPr>
      </w:pPr>
      <w:r>
        <w:rPr>
          <w:rFonts w:cs="Calibri"/>
          <w:b/>
          <w:bCs/>
          <w:color w:val="2A87C8"/>
          <w:lang w:val="pt-BR"/>
        </w:rPr>
        <w:t xml:space="preserve">Funções e responsabilidades claramente definidas </w:t>
      </w:r>
      <w:r>
        <w:rPr>
          <w:rFonts w:cs="Calibri"/>
          <w:color w:val="2A87C8"/>
          <w:lang w:val="pt-BR"/>
        </w:rPr>
        <w:t>de CA, CC e CM são fundamentais para a qualidade de vida, o grau de dign</w:t>
      </w:r>
      <w:r>
        <w:rPr>
          <w:rFonts w:cs="Calibri"/>
          <w:color w:val="2A87C8"/>
          <w:lang w:val="pt-BR"/>
        </w:rPr>
        <w:t xml:space="preserve">idade e soluções sustentáveis futuras para a população deslocada. </w:t>
      </w:r>
    </w:p>
    <w:p w14:paraId="6C561471" w14:textId="77777777" w:rsidR="002A4D73" w:rsidRDefault="002A4D7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2A87C8"/>
          <w:lang w:val="pt-BR"/>
        </w:rPr>
      </w:pPr>
    </w:p>
    <w:p w14:paraId="6C561472" w14:textId="77777777" w:rsidR="002A4D73" w:rsidRDefault="00F13375">
      <w:pPr>
        <w:widowControl w:val="0"/>
        <w:autoSpaceDE w:val="0"/>
        <w:autoSpaceDN w:val="0"/>
        <w:adjustRightInd w:val="0"/>
        <w:jc w:val="both"/>
        <w:rPr>
          <w:rStyle w:val="normaltextrun"/>
          <w:rFonts w:asciiTheme="minorHAnsi" w:eastAsia="MS Gothic" w:hAnsiTheme="minorHAnsi" w:cstheme="minorHAnsi"/>
          <w:color w:val="2A87C8"/>
          <w:lang w:val="pt-BR"/>
        </w:rPr>
      </w:pPr>
      <w:r>
        <w:rPr>
          <w:rFonts w:cs="Calibri"/>
          <w:color w:val="2A87C8"/>
          <w:lang w:val="pt-BR"/>
        </w:rPr>
        <w:t xml:space="preserve">O papel de uma agência de gestão de acampamento é </w:t>
      </w:r>
      <w:r>
        <w:rPr>
          <w:rFonts w:cs="Calibri"/>
          <w:b/>
          <w:bCs/>
          <w:color w:val="2A87C8"/>
          <w:lang w:val="pt-BR"/>
        </w:rPr>
        <w:t xml:space="preserve">apoiar as autoridades nacionais </w:t>
      </w:r>
      <w:r>
        <w:rPr>
          <w:rFonts w:cs="Calibri"/>
          <w:color w:val="2A87C8"/>
          <w:lang w:val="pt-BR"/>
        </w:rPr>
        <w:t>(uma vez que são responsáveis por proteger os direitos de refugiados, apátridas e pessoas deslocadas inter</w:t>
      </w:r>
      <w:r>
        <w:rPr>
          <w:rFonts w:cs="Calibri"/>
          <w:color w:val="2A87C8"/>
          <w:lang w:val="pt-BR"/>
        </w:rPr>
        <w:t>namente (PDIs) em seu território) e</w:t>
      </w:r>
      <w:r>
        <w:rPr>
          <w:rFonts w:cs="Calibri"/>
          <w:b/>
          <w:bCs/>
          <w:color w:val="2A87C8"/>
          <w:lang w:val="pt-BR"/>
        </w:rPr>
        <w:t xml:space="preserve"> trabalhar com agências de proteção designadas </w:t>
      </w:r>
      <w:r>
        <w:rPr>
          <w:rFonts w:cs="Calibri"/>
          <w:color w:val="2A87C8"/>
          <w:lang w:val="pt-BR"/>
        </w:rPr>
        <w:t>em acampamentos e estruturas semelhantes a acampamentos.</w:t>
      </w:r>
    </w:p>
    <w:p w14:paraId="6C561473" w14:textId="77777777" w:rsidR="002A4D73" w:rsidRDefault="002A4D73">
      <w:pPr>
        <w:jc w:val="both"/>
        <w:rPr>
          <w:rFonts w:asciiTheme="minorHAnsi" w:hAnsiTheme="minorHAnsi" w:cstheme="minorHAnsi"/>
          <w:color w:val="000000" w:themeColor="text1"/>
          <w:lang w:val="pt-BR"/>
        </w:rPr>
      </w:pPr>
    </w:p>
    <w:p w14:paraId="6C561474" w14:textId="77777777" w:rsidR="002A4D73" w:rsidRDefault="00F13375">
      <w:pPr>
        <w:widowControl w:val="0"/>
        <w:autoSpaceDE w:val="0"/>
        <w:autoSpaceDN w:val="0"/>
        <w:adjustRightInd w:val="0"/>
        <w:jc w:val="both"/>
        <w:rPr>
          <w:rFonts w:asciiTheme="minorHAnsi" w:eastAsiaTheme="majorEastAsia" w:hAnsiTheme="minorHAnsi" w:cstheme="minorHAnsi"/>
          <w:b/>
          <w:bCs/>
          <w:i/>
          <w:lang w:val="pt-BR"/>
        </w:rPr>
      </w:pPr>
      <w:r>
        <w:rPr>
          <w:rFonts w:cs="Calibri"/>
          <w:b/>
          <w:bCs/>
          <w:i/>
          <w:iCs/>
          <w:lang w:val="pt-BR"/>
        </w:rPr>
        <w:t>Responsabilidades de gestão de acampamento</w:t>
      </w:r>
    </w:p>
    <w:p w14:paraId="6C561475" w14:textId="77777777" w:rsidR="002A4D73" w:rsidRDefault="00F13375">
      <w:pPr>
        <w:widowControl w:val="0"/>
        <w:autoSpaceDE w:val="0"/>
        <w:autoSpaceDN w:val="0"/>
        <w:adjustRightInd w:val="0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 xml:space="preserve">Muitas tarefas e funções diferentes são exigidas para gerir os </w:t>
      </w:r>
      <w:r>
        <w:rPr>
          <w:rFonts w:cs="Calibri"/>
          <w:lang w:val="pt-BR"/>
        </w:rPr>
        <w:t>acampamentos. A estrutura da equipe em cada contexto será diferente. Os líderes dos grupos de abrigo, WASH [</w:t>
      </w:r>
      <w:r>
        <w:rPr>
          <w:rFonts w:cs="Calibri"/>
          <w:i/>
          <w:iCs/>
          <w:lang w:val="pt-BR"/>
        </w:rPr>
        <w:t>Water, Sanitation and Hygiene</w:t>
      </w:r>
      <w:r>
        <w:rPr>
          <w:rFonts w:cs="Calibri"/>
          <w:lang w:val="pt-BR"/>
        </w:rPr>
        <w:t xml:space="preserve"> (Água, Saneamento e Higiene)], proteção e CCCM (quando ativados) dividirão as funções técnicas. </w:t>
      </w:r>
    </w:p>
    <w:p w14:paraId="6C561476" w14:textId="77777777" w:rsidR="002A4D73" w:rsidRDefault="002A4D73">
      <w:pPr>
        <w:widowControl w:val="0"/>
        <w:autoSpaceDE w:val="0"/>
        <w:autoSpaceDN w:val="0"/>
        <w:adjustRightInd w:val="0"/>
        <w:jc w:val="both"/>
        <w:rPr>
          <w:rFonts w:asciiTheme="minorHAnsi" w:eastAsiaTheme="majorEastAsia" w:hAnsiTheme="minorHAnsi" w:cstheme="minorHAnsi"/>
          <w:lang w:val="pt-BR"/>
        </w:rPr>
      </w:pPr>
    </w:p>
    <w:p w14:paraId="6C561477" w14:textId="77777777" w:rsidR="002A4D73" w:rsidRDefault="00F13375">
      <w:pPr>
        <w:widowControl w:val="0"/>
        <w:autoSpaceDE w:val="0"/>
        <w:autoSpaceDN w:val="0"/>
        <w:adjustRightInd w:val="0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>As tarefas específicas que precisam ser concluídas nas diferentes fases, bem como respostas às necessidades específicas da população deslocada, mudarão ao lo</w:t>
      </w:r>
      <w:r>
        <w:rPr>
          <w:rFonts w:cs="Calibri"/>
          <w:lang w:val="pt-BR"/>
        </w:rPr>
        <w:t xml:space="preserve">ngo do tempo e podem durar algumas semanas/meses/anos.  </w:t>
      </w:r>
    </w:p>
    <w:p w14:paraId="6C561478" w14:textId="77777777" w:rsidR="002A4D73" w:rsidRDefault="002A4D73">
      <w:pPr>
        <w:widowControl w:val="0"/>
        <w:autoSpaceDE w:val="0"/>
        <w:autoSpaceDN w:val="0"/>
        <w:adjustRightInd w:val="0"/>
        <w:jc w:val="both"/>
        <w:rPr>
          <w:rFonts w:asciiTheme="minorHAnsi" w:eastAsiaTheme="majorEastAsia" w:hAnsiTheme="minorHAnsi" w:cstheme="minorHAnsi"/>
          <w:lang w:val="pt-BR"/>
        </w:rPr>
      </w:pPr>
    </w:p>
    <w:p w14:paraId="6C561479" w14:textId="77777777" w:rsidR="002A4D73" w:rsidRDefault="00F13375">
      <w:pPr>
        <w:widowControl w:val="0"/>
        <w:autoSpaceDE w:val="0"/>
        <w:autoSpaceDN w:val="0"/>
        <w:adjustRightInd w:val="0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 xml:space="preserve">Descrita no Kit de Ferramentas de Gestão de Acampamento, em todas as fases do ciclo de vida do acampamento, a agência de gestão de acampamento é responsável por: </w:t>
      </w:r>
    </w:p>
    <w:p w14:paraId="6C56147A" w14:textId="77777777" w:rsidR="002A4D73" w:rsidRDefault="00F1337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835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>Recrutar, treinar e supervisionar e</w:t>
      </w:r>
      <w:r>
        <w:rPr>
          <w:rFonts w:cs="Calibri"/>
          <w:lang w:val="pt-BR"/>
        </w:rPr>
        <w:t xml:space="preserve">quipes. </w:t>
      </w:r>
    </w:p>
    <w:p w14:paraId="6C56147B" w14:textId="77777777" w:rsidR="002A4D73" w:rsidRDefault="00F1337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835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>Coletar informações (dados) sobre as necessidades da população.</w:t>
      </w:r>
    </w:p>
    <w:p w14:paraId="6C56147C" w14:textId="77777777" w:rsidR="002A4D73" w:rsidRDefault="00F1337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835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 xml:space="preserve">Monitorar se todos os habitantes do acampamento têm acesso seguro e não discriminatório às instalações e aos serviços disponíveis. </w:t>
      </w:r>
    </w:p>
    <w:p w14:paraId="6C56147D" w14:textId="77777777" w:rsidR="002A4D73" w:rsidRDefault="00F1337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835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>Apoiar mecanismos de referência e resposta para inc</w:t>
      </w:r>
      <w:r>
        <w:rPr>
          <w:rFonts w:cs="Calibri"/>
          <w:lang w:val="pt-BR"/>
        </w:rPr>
        <w:t>identes de proteção.</w:t>
      </w:r>
    </w:p>
    <w:p w14:paraId="6C56147E" w14:textId="77777777" w:rsidR="002A4D73" w:rsidRDefault="00F1337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835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>Coordenar e monitorar a assistência e proteção no acampamento, e reportar as lacunas às agências responsáveis (frequentemente prestadores de serviços e a agência de coordenação de acampamento).</w:t>
      </w:r>
    </w:p>
    <w:p w14:paraId="6C56147F" w14:textId="77777777" w:rsidR="002A4D73" w:rsidRDefault="00F1337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835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>Garantir que as questões de proteção rele</w:t>
      </w:r>
      <w:r>
        <w:rPr>
          <w:rFonts w:cs="Calibri"/>
          <w:lang w:val="pt-BR"/>
        </w:rPr>
        <w:t>vantes no acampamento sejam direcionadas às agências de proteção e autoridades competentes.</w:t>
      </w:r>
    </w:p>
    <w:p w14:paraId="6C561480" w14:textId="77777777" w:rsidR="002A4D73" w:rsidRDefault="00F1337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835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>Estabelecer mecanismos de governança e de participação comunitária.</w:t>
      </w:r>
    </w:p>
    <w:p w14:paraId="6C561481" w14:textId="77777777" w:rsidR="002A4D73" w:rsidRDefault="00F1337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835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>Monitorar e manter a infraestrutura do acampamento.</w:t>
      </w:r>
    </w:p>
    <w:p w14:paraId="6C561482" w14:textId="77777777" w:rsidR="002A4D73" w:rsidRDefault="00F1337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835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>Fornecer informações à população do acampame</w:t>
      </w:r>
      <w:r>
        <w:rPr>
          <w:rFonts w:cs="Calibri"/>
          <w:lang w:val="pt-BR"/>
        </w:rPr>
        <w:t>nto sobre seus direitos e suas obrigações.</w:t>
      </w:r>
    </w:p>
    <w:p w14:paraId="6C561483" w14:textId="77777777" w:rsidR="002A4D73" w:rsidRDefault="00F1337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835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>Planejar estrategicamente atividades para integrar uma perspectiva de proteção em todos os programas e atividades no acampamento, que estão sob sua responsabilidade.</w:t>
      </w:r>
    </w:p>
    <w:p w14:paraId="6C561484" w14:textId="77777777" w:rsidR="002A4D73" w:rsidRDefault="002A4D73">
      <w:pPr>
        <w:widowControl w:val="0"/>
        <w:autoSpaceDE w:val="0"/>
        <w:autoSpaceDN w:val="0"/>
        <w:adjustRightInd w:val="0"/>
        <w:jc w:val="both"/>
        <w:rPr>
          <w:rFonts w:asciiTheme="minorHAnsi" w:eastAsiaTheme="majorEastAsia" w:hAnsiTheme="minorHAnsi" w:cstheme="minorHAnsi"/>
          <w:lang w:val="pt-BR"/>
        </w:rPr>
      </w:pPr>
    </w:p>
    <w:p w14:paraId="6C561485" w14:textId="77777777" w:rsidR="002A4D73" w:rsidRDefault="00F13375">
      <w:pPr>
        <w:widowControl w:val="0"/>
        <w:autoSpaceDE w:val="0"/>
        <w:autoSpaceDN w:val="0"/>
        <w:adjustRightInd w:val="0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>Para obter informações adicionais sobre as res</w:t>
      </w:r>
      <w:r>
        <w:rPr>
          <w:rFonts w:cs="Calibri"/>
          <w:lang w:val="pt-BR"/>
        </w:rPr>
        <w:t>ponsabilidades de Administração e Coordenação de Acampamento, consulte o folheto (handout) intitulado HO - ESTRUTURA DE CCCM no Anexo 3.</w:t>
      </w:r>
    </w:p>
    <w:p w14:paraId="6C561486" w14:textId="77777777" w:rsidR="002A4D73" w:rsidRDefault="002A4D73">
      <w:pPr>
        <w:widowControl w:val="0"/>
        <w:autoSpaceDE w:val="0"/>
        <w:autoSpaceDN w:val="0"/>
        <w:adjustRightInd w:val="0"/>
        <w:jc w:val="both"/>
        <w:rPr>
          <w:rFonts w:asciiTheme="minorHAnsi" w:eastAsiaTheme="majorEastAsia" w:hAnsiTheme="minorHAnsi" w:cstheme="minorHAnsi"/>
          <w:lang w:val="pt-BR"/>
        </w:rPr>
      </w:pPr>
    </w:p>
    <w:p w14:paraId="6C561487" w14:textId="77777777" w:rsidR="002A4D73" w:rsidRDefault="00F13375">
      <w:pPr>
        <w:rPr>
          <w:rStyle w:val="normaltextrun"/>
          <w:rFonts w:asciiTheme="minorHAnsi" w:hAnsiTheme="minorHAnsi" w:cstheme="minorHAns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Mensagem principal</w:t>
      </w:r>
    </w:p>
    <w:p w14:paraId="6C561488" w14:textId="77777777" w:rsidR="002A4D73" w:rsidRDefault="00F13375">
      <w:pPr>
        <w:jc w:val="both"/>
        <w:rPr>
          <w:rStyle w:val="normaltextrun"/>
          <w:rFonts w:asciiTheme="minorHAnsi" w:hAnsiTheme="minorHAnsi" w:cstheme="minorHAnsi"/>
          <w:bCs/>
          <w:color w:val="2A87C8"/>
          <w:lang w:val="pt-BR"/>
        </w:rPr>
      </w:pPr>
      <w:r>
        <w:rPr>
          <w:rStyle w:val="normaltextrun"/>
          <w:rFonts w:cs="Calibri"/>
          <w:bCs/>
          <w:color w:val="2A87C8"/>
          <w:lang w:val="pt-BR"/>
        </w:rPr>
        <w:t xml:space="preserve">É essencial que um </w:t>
      </w:r>
      <w:r>
        <w:rPr>
          <w:rStyle w:val="normaltextrun"/>
          <w:rFonts w:cs="Calibri"/>
          <w:b/>
          <w:bCs/>
          <w:color w:val="2A87C8"/>
          <w:lang w:val="pt-BR"/>
        </w:rPr>
        <w:t>termo de referência claro</w:t>
      </w:r>
      <w:r>
        <w:rPr>
          <w:rStyle w:val="normaltextrun"/>
          <w:rFonts w:cs="Calibri"/>
          <w:color w:val="2A87C8"/>
          <w:lang w:val="pt-BR"/>
        </w:rPr>
        <w:t xml:space="preserve"> para todos os agentes de CCCM seja acordado e compreen</w:t>
      </w:r>
      <w:r>
        <w:rPr>
          <w:rStyle w:val="normaltextrun"/>
          <w:rFonts w:cs="Calibri"/>
          <w:color w:val="2A87C8"/>
          <w:lang w:val="pt-BR"/>
        </w:rPr>
        <w:t>dido em níveis estratégicos (nacionais), de coordenação e operacionais. Essa clareza é fundamental para desenvolver uma estratégia de resposta planejada que reflita as necessidades da população deslocada e esteja vinculada com outros setores/grupos a fim d</w:t>
      </w:r>
      <w:r>
        <w:rPr>
          <w:rStyle w:val="normaltextrun"/>
          <w:rFonts w:cs="Calibri"/>
          <w:color w:val="2A87C8"/>
          <w:lang w:val="pt-BR"/>
        </w:rPr>
        <w:t>e garantir que os serviços apropriados sejam prestados.</w:t>
      </w:r>
    </w:p>
    <w:p w14:paraId="6C561489" w14:textId="77777777" w:rsidR="002A4D73" w:rsidRDefault="002A4D73">
      <w:pPr>
        <w:widowControl w:val="0"/>
        <w:autoSpaceDE w:val="0"/>
        <w:autoSpaceDN w:val="0"/>
        <w:adjustRightInd w:val="0"/>
        <w:jc w:val="both"/>
        <w:rPr>
          <w:rFonts w:asciiTheme="minorHAnsi" w:eastAsiaTheme="majorEastAsia" w:hAnsiTheme="minorHAnsi" w:cstheme="minorHAnsi"/>
          <w:lang w:val="pt-BR"/>
        </w:rPr>
      </w:pPr>
    </w:p>
    <w:p w14:paraId="6C56148A" w14:textId="285A921D" w:rsidR="002A4D73" w:rsidRDefault="00F13375">
      <w:pPr>
        <w:widowControl w:val="0"/>
        <w:autoSpaceDE w:val="0"/>
        <w:autoSpaceDN w:val="0"/>
        <w:adjustRightInd w:val="0"/>
        <w:jc w:val="both"/>
        <w:rPr>
          <w:rFonts w:asciiTheme="minorHAnsi" w:eastAsiaTheme="majorEastAsia" w:hAnsiTheme="minorHAnsi" w:cstheme="minorHAnsi"/>
          <w:b/>
          <w:bCs/>
          <w:i/>
          <w:color w:val="2A87C8"/>
          <w:lang w:val="pt-BR"/>
        </w:rPr>
      </w:pPr>
      <w:r>
        <w:rPr>
          <w:rFonts w:cs="Calibri"/>
          <w:b/>
          <w:bCs/>
          <w:i/>
          <w:iCs/>
          <w:color w:val="2A87C8"/>
          <w:lang w:val="pt-BR"/>
        </w:rPr>
        <w:t>Integração para prevenção de VBG</w:t>
      </w:r>
      <w:r>
        <w:rPr>
          <w:rFonts w:cs="Calibri"/>
          <w:b/>
          <w:bCs/>
          <w:i/>
          <w:iCs/>
          <w:color w:val="2A87C8"/>
          <w:lang w:val="pt-BR"/>
        </w:rPr>
        <w:t xml:space="preserve"> </w:t>
      </w:r>
    </w:p>
    <w:p w14:paraId="6C56148B" w14:textId="77777777" w:rsidR="002A4D73" w:rsidRDefault="00F13375">
      <w:pPr>
        <w:widowControl w:val="0"/>
        <w:autoSpaceDE w:val="0"/>
        <w:autoSpaceDN w:val="0"/>
        <w:adjustRightInd w:val="0"/>
        <w:jc w:val="both"/>
        <w:rPr>
          <w:rFonts w:asciiTheme="minorHAnsi" w:eastAsiaTheme="majorEastAsia" w:hAnsiTheme="minorHAnsi" w:cstheme="minorHAnsi"/>
          <w:lang w:val="pt-BR"/>
        </w:rPr>
      </w:pPr>
      <w:r>
        <w:rPr>
          <w:rFonts w:cs="Calibri"/>
          <w:lang w:val="pt-BR"/>
        </w:rPr>
        <w:t xml:space="preserve">A integração de atividades de proteção e prevenção pode exigir tempo adicional para implementação, mas deve ser iniciada o mais cedo possível na resposta a </w:t>
      </w:r>
      <w:r>
        <w:rPr>
          <w:rFonts w:cs="Calibri"/>
          <w:lang w:val="pt-BR"/>
        </w:rPr>
        <w:t>emergências. Essas ações geralmente exigem apenas um pouco mais de esforço e podem ser abordadas por meio de maior conscientização da equipe, aumento da sensibilidade dos parceiros ou criação de conscientização entre a própria população do acampamento para</w:t>
      </w:r>
      <w:r>
        <w:rPr>
          <w:rFonts w:cs="Calibri"/>
          <w:lang w:val="pt-BR"/>
        </w:rPr>
        <w:t xml:space="preserve"> promover a prevenção e a resposta à proteção baseada na comunidade, no início das operações do acampamento.</w:t>
      </w:r>
    </w:p>
    <w:p w14:paraId="6C56148C" w14:textId="77777777" w:rsidR="002A4D73" w:rsidRDefault="002A4D73">
      <w:pPr>
        <w:widowControl w:val="0"/>
        <w:autoSpaceDE w:val="0"/>
        <w:autoSpaceDN w:val="0"/>
        <w:adjustRightInd w:val="0"/>
        <w:jc w:val="both"/>
        <w:rPr>
          <w:rFonts w:asciiTheme="minorHAnsi" w:eastAsiaTheme="majorEastAsia" w:hAnsiTheme="minorHAnsi" w:cstheme="minorHAnsi"/>
          <w:lang w:val="pt-BR"/>
        </w:rPr>
      </w:pPr>
    </w:p>
    <w:p w14:paraId="6C56148D" w14:textId="77777777" w:rsidR="002A4D73" w:rsidRDefault="00F13375">
      <w:pPr>
        <w:rPr>
          <w:rStyle w:val="normaltextrun"/>
          <w:rFonts w:asciiTheme="minorHAnsi" w:hAnsiTheme="minorHAnsi" w:cstheme="minorHAns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Principais mensagens</w:t>
      </w:r>
    </w:p>
    <w:p w14:paraId="6C56148E" w14:textId="77777777" w:rsidR="002A4D73" w:rsidRDefault="00F13375">
      <w:pPr>
        <w:jc w:val="both"/>
        <w:rPr>
          <w:rStyle w:val="normaltextrun"/>
          <w:rFonts w:asciiTheme="minorHAnsi" w:hAnsiTheme="minorHAnsi" w:cstheme="minorHAnsi"/>
          <w:bCs/>
          <w:color w:val="2A87C8"/>
          <w:lang w:val="pt-BR"/>
        </w:rPr>
      </w:pPr>
      <w:r>
        <w:rPr>
          <w:rStyle w:val="normaltextrun"/>
          <w:rFonts w:cs="Calibri"/>
          <w:bCs/>
          <w:color w:val="2A87C8"/>
          <w:lang w:val="pt-BR"/>
        </w:rPr>
        <w:t xml:space="preserve">Os agentes de CCCM (gestores, coordenadores e administradores) </w:t>
      </w:r>
      <w:r>
        <w:rPr>
          <w:rStyle w:val="normaltextrun"/>
          <w:rFonts w:cs="Calibri"/>
          <w:b/>
          <w:bCs/>
          <w:color w:val="2A87C8"/>
          <w:lang w:val="pt-BR"/>
        </w:rPr>
        <w:t xml:space="preserve">compartilham a responsabilidade </w:t>
      </w:r>
      <w:r>
        <w:rPr>
          <w:rStyle w:val="normaltextrun"/>
          <w:rFonts w:cs="Calibri"/>
          <w:color w:val="2A87C8"/>
          <w:lang w:val="pt-BR"/>
        </w:rPr>
        <w:t xml:space="preserve">de garantir a segurança e a proteção da população afetada durante todo o ciclo de vida de um acampamento. </w:t>
      </w:r>
    </w:p>
    <w:p w14:paraId="6C56148F" w14:textId="77777777" w:rsidR="002A4D73" w:rsidRDefault="002A4D73">
      <w:pPr>
        <w:jc w:val="both"/>
        <w:rPr>
          <w:rStyle w:val="normaltextrun"/>
          <w:rFonts w:asciiTheme="minorHAnsi" w:hAnsiTheme="minorHAnsi" w:cstheme="minorHAnsi"/>
          <w:bCs/>
          <w:color w:val="2A87C8"/>
          <w:lang w:val="pt-BR"/>
        </w:rPr>
      </w:pPr>
    </w:p>
    <w:p w14:paraId="6C561490" w14:textId="75C761E9" w:rsidR="002A4D73" w:rsidRDefault="00F13375">
      <w:pPr>
        <w:jc w:val="both"/>
        <w:rPr>
          <w:rStyle w:val="normaltextrun"/>
          <w:rFonts w:asciiTheme="minorHAnsi" w:hAnsiTheme="minorHAnsi" w:cstheme="minorHAnsi"/>
          <w:bCs/>
          <w:color w:val="2A87C8"/>
          <w:lang w:val="pt-BR"/>
        </w:rPr>
      </w:pPr>
      <w:r>
        <w:rPr>
          <w:rStyle w:val="normaltextrun"/>
          <w:rFonts w:cs="Calibri"/>
          <w:bCs/>
          <w:color w:val="2A87C8"/>
          <w:lang w:val="pt-BR"/>
        </w:rPr>
        <w:t>A Agência de Gestão de Acampamento compartilha a resp</w:t>
      </w:r>
      <w:r>
        <w:rPr>
          <w:rStyle w:val="normaltextrun"/>
          <w:rFonts w:cs="Calibri"/>
          <w:bCs/>
          <w:color w:val="2A87C8"/>
          <w:lang w:val="pt-BR"/>
        </w:rPr>
        <w:t>onsabilidade de garantir que as condições no acampamento</w:t>
      </w:r>
      <w:r>
        <w:rPr>
          <w:rStyle w:val="normaltextrun"/>
          <w:rFonts w:cs="Calibri"/>
          <w:b/>
          <w:bCs/>
          <w:color w:val="2A87C8"/>
          <w:lang w:val="pt-BR"/>
        </w:rPr>
        <w:t xml:space="preserve"> minimizem os riscos de violência com base em gênero (VBG</w:t>
      </w:r>
      <w:r>
        <w:rPr>
          <w:rStyle w:val="normaltextrun"/>
          <w:rFonts w:cs="Calibri"/>
          <w:b/>
          <w:bCs/>
          <w:color w:val="2A87C8"/>
          <w:lang w:val="pt-BR"/>
        </w:rPr>
        <w:t>)</w:t>
      </w:r>
      <w:r>
        <w:rPr>
          <w:rStyle w:val="normaltextrun"/>
          <w:rFonts w:cs="Calibri"/>
          <w:color w:val="2A87C8"/>
          <w:lang w:val="pt-BR"/>
        </w:rPr>
        <w:t xml:space="preserve"> para todos os grupos de população vulneráveis no acampamento.</w:t>
      </w:r>
    </w:p>
    <w:p w14:paraId="6C561491" w14:textId="77777777" w:rsidR="002A4D73" w:rsidRDefault="002A4D73">
      <w:pPr>
        <w:jc w:val="both"/>
        <w:rPr>
          <w:rStyle w:val="normaltextrun"/>
          <w:rFonts w:asciiTheme="minorHAnsi" w:hAnsiTheme="minorHAnsi" w:cstheme="minorHAnsi"/>
          <w:bCs/>
          <w:color w:val="2A87C8"/>
          <w:lang w:val="pt-BR"/>
        </w:rPr>
      </w:pPr>
    </w:p>
    <w:p w14:paraId="6C561492" w14:textId="21C4953D" w:rsidR="002A4D73" w:rsidRDefault="00F13375">
      <w:pPr>
        <w:jc w:val="both"/>
        <w:rPr>
          <w:rStyle w:val="normaltextrun"/>
          <w:rFonts w:asciiTheme="minorHAnsi" w:hAnsiTheme="minorHAnsi" w:cstheme="minorHAnsi"/>
          <w:bCs/>
          <w:color w:val="2A87C8"/>
          <w:lang w:val="pt-BR"/>
        </w:rPr>
      </w:pPr>
      <w:r>
        <w:rPr>
          <w:rStyle w:val="normaltextrun"/>
          <w:rFonts w:cs="Calibri"/>
          <w:bCs/>
          <w:color w:val="2A87C8"/>
          <w:lang w:val="pt-BR"/>
        </w:rPr>
        <w:t xml:space="preserve">A equipe da Agência de Gestão de Acampamento deve ser </w:t>
      </w:r>
      <w:r>
        <w:rPr>
          <w:rStyle w:val="normaltextrun"/>
          <w:rFonts w:cs="Calibri"/>
          <w:b/>
          <w:bCs/>
          <w:color w:val="2A87C8"/>
          <w:lang w:val="pt-BR"/>
        </w:rPr>
        <w:t>treinada e bem preparada</w:t>
      </w:r>
      <w:r>
        <w:rPr>
          <w:rStyle w:val="normaltextrun"/>
          <w:rFonts w:cs="Calibri"/>
          <w:b/>
          <w:bCs/>
          <w:color w:val="2A87C8"/>
          <w:lang w:val="pt-BR"/>
        </w:rPr>
        <w:t xml:space="preserve"> para entender os problemas de VBG</w:t>
      </w:r>
      <w:r>
        <w:rPr>
          <w:rStyle w:val="normaltextrun"/>
          <w:rFonts w:cs="Calibri"/>
          <w:b/>
          <w:bCs/>
          <w:color w:val="2A87C8"/>
          <w:lang w:val="pt-BR"/>
        </w:rPr>
        <w:t xml:space="preserve"> </w:t>
      </w:r>
      <w:r>
        <w:rPr>
          <w:rStyle w:val="normaltextrun"/>
          <w:rFonts w:cs="Calibri"/>
          <w:color w:val="2A87C8"/>
          <w:lang w:val="pt-BR"/>
        </w:rPr>
        <w:t>e, portanto,</w:t>
      </w:r>
      <w:r>
        <w:rPr>
          <w:rStyle w:val="normaltextrun"/>
          <w:rFonts w:cs="Calibri"/>
          <w:b/>
          <w:bCs/>
          <w:color w:val="2A87C8"/>
          <w:lang w:val="pt-BR"/>
        </w:rPr>
        <w:t xml:space="preserve"> considerá-los</w:t>
      </w:r>
      <w:r>
        <w:rPr>
          <w:rStyle w:val="normaltextrun"/>
          <w:rFonts w:cs="Calibri"/>
          <w:color w:val="2A87C8"/>
          <w:lang w:val="pt-BR"/>
        </w:rPr>
        <w:t xml:space="preserve"> em seu trabalho diário e nas atividades no acampamento.</w:t>
      </w:r>
    </w:p>
    <w:p w14:paraId="6C561493" w14:textId="77777777" w:rsidR="002A4D73" w:rsidRDefault="002A4D73">
      <w:pPr>
        <w:jc w:val="both"/>
        <w:rPr>
          <w:rFonts w:asciiTheme="minorHAnsi" w:hAnsiTheme="minorHAnsi" w:cstheme="minorHAnsi"/>
          <w:color w:val="2A87C8"/>
          <w:sz w:val="22"/>
          <w:szCs w:val="22"/>
          <w:lang w:val="pt-BR"/>
        </w:rPr>
      </w:pPr>
    </w:p>
    <w:p w14:paraId="6C561494" w14:textId="77777777" w:rsidR="002A4D73" w:rsidRDefault="00F13375">
      <w:pPr>
        <w:rPr>
          <w:rStyle w:val="normaltextrun"/>
          <w:rFonts w:asciiTheme="minorHAnsi" w:hAnsiTheme="minorHAnsi" w:cstheme="minorHAnsi"/>
          <w:b/>
          <w:bCs/>
          <w:color w:val="2A87C8"/>
          <w:sz w:val="28"/>
          <w:szCs w:val="28"/>
          <w:lang w:val="en-GB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Referências e ferramentas</w:t>
      </w:r>
    </w:p>
    <w:p w14:paraId="6C561495" w14:textId="77777777" w:rsidR="002A4D73" w:rsidRDefault="00F1337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720"/>
        <w:jc w:val="both"/>
        <w:rPr>
          <w:rFonts w:asciiTheme="minorHAnsi" w:hAnsiTheme="minorHAnsi" w:cstheme="minorHAnsi"/>
        </w:rPr>
      </w:pPr>
      <w:r>
        <w:rPr>
          <w:rFonts w:cs="Calibri"/>
        </w:rPr>
        <w:t xml:space="preserve">ALNAP. 2011. ALNAP Meeting Paper, 26th Annual Meeting, 16–17 November 2010. The role of national governments in international humanitarian response. </w:t>
      </w:r>
      <w:hyperlink r:id="rId11" w:history="1">
        <w:r>
          <w:rPr>
            <w:rFonts w:cs="Calibri"/>
            <w:color w:val="0563C1"/>
            <w:u w:val="single"/>
          </w:rPr>
          <w:t>https://reliefweb.int/report/world/alnap-meeting-paper-role-national-governments-international-humanitarian-response</w:t>
        </w:r>
      </w:hyperlink>
      <w:r>
        <w:rPr>
          <w:rFonts w:cs="Calibri"/>
        </w:rPr>
        <w:t xml:space="preserve"> </w:t>
      </w:r>
    </w:p>
    <w:p w14:paraId="6C561496" w14:textId="77777777" w:rsidR="002A4D73" w:rsidRDefault="00F1337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720"/>
        <w:jc w:val="both"/>
        <w:rPr>
          <w:rFonts w:asciiTheme="minorHAnsi" w:eastAsiaTheme="majorEastAsia" w:hAnsiTheme="minorHAnsi" w:cstheme="minorHAnsi"/>
        </w:rPr>
      </w:pPr>
      <w:r>
        <w:rPr>
          <w:rFonts w:cs="Calibri"/>
        </w:rPr>
        <w:t xml:space="preserve">Camp Management Toolkit. 2015. Chapter 2: Roles and Responsibilities. </w:t>
      </w:r>
      <w:hyperlink r:id="rId12" w:history="1">
        <w:r>
          <w:rPr>
            <w:rFonts w:cs="Calibri"/>
            <w:color w:val="0563C1"/>
            <w:u w:val="single"/>
          </w:rPr>
          <w:t>http://cmtoolkit.org/media/transfer/doc/chapter_2.pdf</w:t>
        </w:r>
      </w:hyperlink>
    </w:p>
    <w:p w14:paraId="6C561497" w14:textId="77777777" w:rsidR="002A4D73" w:rsidRDefault="00F1337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720"/>
        <w:jc w:val="both"/>
        <w:rPr>
          <w:rFonts w:asciiTheme="minorHAnsi" w:hAnsiTheme="minorHAnsi" w:cstheme="minorHAnsi"/>
        </w:rPr>
      </w:pPr>
      <w:r>
        <w:rPr>
          <w:rFonts w:cs="Calibri"/>
        </w:rPr>
        <w:t xml:space="preserve">Collective Centers Guidelines. 2010. Chapters 2: General Comments on Collective Centre Management and 3: Roles and Responsibilities. </w:t>
      </w:r>
      <w:hyperlink r:id="rId13" w:history="1">
        <w:r>
          <w:rPr>
            <w:rFonts w:cs="Calibri"/>
            <w:color w:val="0563C1"/>
            <w:u w:val="single"/>
          </w:rPr>
          <w:t>http://www.globalcccmcluster.org/tools-and-guidance/publications/collective-centre-guidelines</w:t>
        </w:r>
      </w:hyperlink>
    </w:p>
    <w:p w14:paraId="6C561498" w14:textId="77777777" w:rsidR="002A4D73" w:rsidRDefault="00F13375">
      <w:pPr>
        <w:pStyle w:val="CCCMbulletpoint"/>
        <w:numPr>
          <w:ilvl w:val="0"/>
          <w:numId w:val="2"/>
        </w:numPr>
        <w:spacing w:after="120"/>
        <w:ind w:left="720"/>
        <w:jc w:val="both"/>
        <w:rPr>
          <w:rFonts w:asciiTheme="minorHAnsi" w:hAnsiTheme="minorHAnsi" w:cstheme="minorHAnsi"/>
          <w:lang w:val="pt-BR"/>
        </w:rPr>
      </w:pPr>
      <w:r>
        <w:rPr>
          <w:rFonts w:cs="Calibri"/>
        </w:rPr>
        <w:t xml:space="preserve">Global CCCM Cluster. 2014. Camp Closure Guidelines. </w:t>
      </w:r>
      <w:hyperlink r:id="rId14" w:history="1">
        <w:r>
          <w:rPr>
            <w:rFonts w:cs="Calibri"/>
            <w:color w:val="0563C1"/>
            <w:u w:val="single"/>
            <w:lang w:val="pt-BR"/>
          </w:rPr>
          <w:t>http://www.globalcccmcluster.org/system/files/publications/Camp_Closure_Guidelines.pdf</w:t>
        </w:r>
      </w:hyperlink>
    </w:p>
    <w:p w14:paraId="6C561499" w14:textId="77777777" w:rsidR="002A4D73" w:rsidRDefault="00F1337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720"/>
        <w:jc w:val="both"/>
        <w:rPr>
          <w:rFonts w:asciiTheme="minorHAnsi" w:hAnsiTheme="minorHAnsi" w:cstheme="minorHAnsi"/>
          <w:lang w:val="pt-BR"/>
        </w:rPr>
      </w:pPr>
      <w:r>
        <w:rPr>
          <w:rFonts w:cs="Calibri"/>
        </w:rPr>
        <w:lastRenderedPageBreak/>
        <w:t>Inter-Agency Standing Committee (IASC). 2011. Operational Guidance for Cluster Lead Agencies on Working wit</w:t>
      </w:r>
      <w:r>
        <w:rPr>
          <w:rFonts w:cs="Calibri"/>
        </w:rPr>
        <w:t xml:space="preserve">h National Authorities. </w:t>
      </w:r>
      <w:hyperlink r:id="rId15" w:history="1">
        <w:r>
          <w:rPr>
            <w:rFonts w:cs="Calibri"/>
            <w:color w:val="0563C1"/>
            <w:u w:val="single"/>
            <w:lang w:val="pt-BR"/>
          </w:rPr>
          <w:t>https://www.alnap.org/system/files/content/resource/files/main/iasc-guidance-on-working-w</w:t>
        </w:r>
        <w:r>
          <w:rPr>
            <w:rFonts w:cs="Calibri"/>
            <w:color w:val="0563C1"/>
            <w:u w:val="single"/>
            <w:lang w:val="pt-BR"/>
          </w:rPr>
          <w:t>ith-national-authorities-july2011.pdf</w:t>
        </w:r>
      </w:hyperlink>
    </w:p>
    <w:p w14:paraId="6C56149A" w14:textId="77777777" w:rsidR="002A4D73" w:rsidRDefault="00F13375">
      <w:pPr>
        <w:pStyle w:val="CCCMbulletpoint"/>
        <w:numPr>
          <w:ilvl w:val="0"/>
          <w:numId w:val="2"/>
        </w:numPr>
        <w:spacing w:after="120"/>
        <w:ind w:left="720"/>
        <w:jc w:val="both"/>
        <w:rPr>
          <w:rFonts w:asciiTheme="minorHAnsi" w:hAnsiTheme="minorHAnsi" w:cstheme="minorHAnsi"/>
        </w:rPr>
      </w:pPr>
      <w:r>
        <w:rPr>
          <w:rFonts w:cs="Calibri"/>
          <w:color w:val="auto"/>
        </w:rPr>
        <w:t>IOM. 2002. IOM Emergency Manual</w:t>
      </w:r>
      <w:r>
        <w:rPr>
          <w:rFonts w:cs="Calibri"/>
        </w:rPr>
        <w:t xml:space="preserve">. </w:t>
      </w:r>
      <w:hyperlink r:id="rId16" w:history="1">
        <w:r>
          <w:rPr>
            <w:rFonts w:cs="Calibri"/>
            <w:color w:val="0563C1"/>
            <w:u w:val="single"/>
          </w:rPr>
          <w:t>https://emergencymanual.iom.int/</w:t>
        </w:r>
      </w:hyperlink>
    </w:p>
    <w:p w14:paraId="6C56149B" w14:textId="77777777" w:rsidR="002A4D73" w:rsidRDefault="00F1337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720"/>
        <w:jc w:val="both"/>
        <w:rPr>
          <w:rFonts w:asciiTheme="minorHAnsi" w:hAnsiTheme="minorHAnsi" w:cstheme="minorHAnsi"/>
        </w:rPr>
      </w:pPr>
      <w:r>
        <w:rPr>
          <w:rFonts w:cs="Calibri"/>
        </w:rPr>
        <w:t>UNHCR. 2010. Handbook for the Protection of Internally Displaced Persons, Part I: Foundations of IDP Pr</w:t>
      </w:r>
      <w:r>
        <w:rPr>
          <w:rFonts w:cs="Calibri"/>
        </w:rPr>
        <w:t xml:space="preserve">otection. </w:t>
      </w:r>
      <w:hyperlink r:id="rId17" w:history="1">
        <w:r>
          <w:rPr>
            <w:rFonts w:cs="Calibri"/>
            <w:color w:val="0563C1"/>
            <w:u w:val="single"/>
          </w:rPr>
          <w:t>http://www.unhcr.org/4c2355229.pdf</w:t>
        </w:r>
      </w:hyperlink>
    </w:p>
    <w:p w14:paraId="6C56149C" w14:textId="77777777" w:rsidR="002A4D73" w:rsidRDefault="00F13375">
      <w:pPr>
        <w:pStyle w:val="ListParagraph"/>
        <w:numPr>
          <w:ilvl w:val="0"/>
          <w:numId w:val="2"/>
        </w:numPr>
        <w:spacing w:after="120"/>
        <w:ind w:left="720"/>
        <w:jc w:val="both"/>
        <w:rPr>
          <w:rFonts w:asciiTheme="minorHAnsi" w:hAnsiTheme="minorHAnsi" w:cstheme="minorHAnsi"/>
          <w:lang w:val="pt-BR"/>
        </w:rPr>
      </w:pPr>
      <w:r>
        <w:rPr>
          <w:rFonts w:cs="Calibri"/>
        </w:rPr>
        <w:t xml:space="preserve">UNOCHA. 2007. Oslo Guidelines: Guidelines on the Use of Foreign Military and Civil </w:t>
      </w:r>
      <w:proofErr w:type="spellStart"/>
      <w:r>
        <w:rPr>
          <w:rFonts w:cs="Calibri"/>
        </w:rPr>
        <w:t>Defence</w:t>
      </w:r>
      <w:proofErr w:type="spellEnd"/>
      <w:r>
        <w:rPr>
          <w:rFonts w:cs="Calibri"/>
        </w:rPr>
        <w:t xml:space="preserve"> Assets in Disaster Relief. </w:t>
      </w:r>
      <w:hyperlink r:id="rId18" w:history="1">
        <w:r>
          <w:rPr>
            <w:rFonts w:cs="Calibri"/>
            <w:color w:val="0563C1"/>
            <w:u w:val="single"/>
            <w:lang w:val="pt-BR"/>
          </w:rPr>
          <w:t>https://www.unocha.org/sites/dms/Documents/Oslo%20Guidelines%20ENGLISH%20(November%202007).pdf</w:t>
        </w:r>
      </w:hyperlink>
    </w:p>
    <w:p w14:paraId="6C56149D" w14:textId="77777777" w:rsidR="002A4D73" w:rsidRDefault="00F1337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720"/>
        <w:jc w:val="both"/>
        <w:rPr>
          <w:rFonts w:asciiTheme="minorHAnsi" w:hAnsiTheme="minorHAnsi" w:cstheme="minorHAnsi"/>
          <w:lang w:val="pt-BR"/>
        </w:rPr>
      </w:pPr>
      <w:r>
        <w:rPr>
          <w:rFonts w:cs="Calibri"/>
        </w:rPr>
        <w:t xml:space="preserve">The Washington Group. Short Set of Questions on Disability.  </w:t>
      </w:r>
      <w:hyperlink r:id="rId19" w:history="1">
        <w:r>
          <w:rPr>
            <w:rFonts w:cs="Calibri"/>
            <w:color w:val="0563C1"/>
            <w:u w:val="single"/>
            <w:lang w:val="pt-BR"/>
          </w:rPr>
          <w:t>http://www.washingtongroup-disability.com/washington-group-question-sets/short-set-of-disability-questions/</w:t>
        </w:r>
      </w:hyperlink>
    </w:p>
    <w:p w14:paraId="6C56149E" w14:textId="77777777" w:rsidR="002A4D73" w:rsidRDefault="00F13375">
      <w:pPr>
        <w:widowControl w:val="0"/>
        <w:autoSpaceDE w:val="0"/>
        <w:autoSpaceDN w:val="0"/>
        <w:adjustRightInd w:val="0"/>
        <w:spacing w:after="120"/>
        <w:ind w:left="720"/>
        <w:contextualSpacing/>
        <w:jc w:val="both"/>
        <w:rPr>
          <w:rFonts w:asciiTheme="minorHAnsi" w:eastAsia="MS Gothic" w:hAnsiTheme="minorHAnsi" w:cstheme="minorHAnsi"/>
          <w:b/>
          <w:lang w:val="en-GB"/>
        </w:rPr>
      </w:pPr>
      <w:r>
        <w:rPr>
          <w:rFonts w:cs="Calibri"/>
          <w:lang w:val="pt-BR"/>
        </w:rPr>
        <w:t>Estas perguntas foram elaboradas para identificar pesso</w:t>
      </w:r>
      <w:r>
        <w:rPr>
          <w:rFonts w:cs="Calibri"/>
          <w:lang w:val="pt-BR"/>
        </w:rPr>
        <w:t>as com deficiência e podem ser usadas durante o processo de cadastro. Consulte o site para obter mais informações.</w:t>
      </w:r>
    </w:p>
    <w:p w14:paraId="6C56149F" w14:textId="77777777" w:rsidR="002A4D73" w:rsidRDefault="00F13375">
      <w:pPr>
        <w:widowControl w:val="0"/>
        <w:autoSpaceDE w:val="0"/>
        <w:autoSpaceDN w:val="0"/>
        <w:adjustRightInd w:val="0"/>
        <w:ind w:left="360"/>
        <w:rPr>
          <w:rFonts w:asciiTheme="minorHAnsi" w:eastAsia="MS Gothic" w:hAnsiTheme="minorHAnsi" w:cstheme="minorHAnsi"/>
          <w:b/>
          <w:lang w:val="en-GB"/>
        </w:rPr>
      </w:pPr>
      <w:r>
        <w:rPr>
          <w:rFonts w:asciiTheme="minorHAnsi" w:eastAsia="MS Gothic" w:hAnsiTheme="minorHAnsi" w:cstheme="minorHAnsi"/>
          <w:b/>
          <w:lang w:val="en-GB"/>
        </w:rPr>
        <w:t xml:space="preserve"> </w:t>
      </w:r>
    </w:p>
    <w:p w14:paraId="6C5614A0" w14:textId="77777777" w:rsidR="002A4D73" w:rsidRDefault="00F13375">
      <w:pPr>
        <w:widowControl w:val="0"/>
        <w:autoSpaceDE w:val="0"/>
        <w:autoSpaceDN w:val="0"/>
        <w:adjustRightInd w:val="0"/>
        <w:rPr>
          <w:rFonts w:asciiTheme="minorHAnsi" w:eastAsia="MS Gothic" w:hAnsiTheme="minorHAnsi" w:cstheme="minorHAnsi"/>
          <w:b/>
          <w:color w:val="2A87C8"/>
          <w:sz w:val="28"/>
          <w:szCs w:val="28"/>
          <w:lang w:val="en-GB"/>
        </w:rPr>
      </w:pPr>
      <w:r>
        <w:rPr>
          <w:rFonts w:cs="Calibri"/>
          <w:b/>
          <w:bCs/>
          <w:color w:val="2A87C8"/>
          <w:sz w:val="28"/>
          <w:szCs w:val="28"/>
          <w:lang w:val="pt-BR"/>
        </w:rPr>
        <w:t>Ferramentas</w:t>
      </w:r>
    </w:p>
    <w:p w14:paraId="6C5614A1" w14:textId="77777777" w:rsidR="002A4D73" w:rsidRDefault="00F13375">
      <w:pPr>
        <w:pStyle w:val="CCCMbulletpoint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Style w:val="normaltextrun"/>
          <w:rFonts w:cs="Calibri"/>
          <w:color w:val="000000"/>
          <w:shd w:val="clear" w:color="auto" w:fill="FFFFFF"/>
          <w:lang w:val="pt-BR"/>
        </w:rPr>
        <w:t>Kit de Ferramentas de Gestão de Acampamento (2015).  </w:t>
      </w:r>
    </w:p>
    <w:p w14:paraId="6C5614A2" w14:textId="77777777" w:rsidR="002A4D73" w:rsidRDefault="00F13375">
      <w:pPr>
        <w:pStyle w:val="CCCMbulletpoint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>TOR [</w:t>
      </w:r>
      <w:r>
        <w:rPr>
          <w:rFonts w:cs="Calibri"/>
          <w:i/>
          <w:iCs/>
          <w:color w:val="auto"/>
          <w:lang w:val="pt-BR"/>
        </w:rPr>
        <w:t>Term of Reference</w:t>
      </w:r>
      <w:r>
        <w:rPr>
          <w:rFonts w:cs="Calibri"/>
          <w:color w:val="auto"/>
          <w:lang w:val="pt-BR"/>
        </w:rPr>
        <w:t xml:space="preserve"> (Termo de Referência)] de diferentes estruturas.</w:t>
      </w:r>
    </w:p>
    <w:p w14:paraId="6C5614A3" w14:textId="77777777" w:rsidR="002A4D73" w:rsidRDefault="00F13375">
      <w:pPr>
        <w:pStyle w:val="CCCMbulletpoint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</w:rPr>
        <w:sectPr w:rsidR="002A4D73">
          <w:headerReference w:type="default" r:id="rId20"/>
          <w:footerReference w:type="default" r:id="rId21"/>
          <w:pgSz w:w="11906" w:h="16838" w:code="9"/>
          <w:pgMar w:top="2268" w:right="1134" w:bottom="1440" w:left="1440" w:header="720" w:footer="720" w:gutter="0"/>
          <w:cols w:space="720"/>
          <w:docGrid w:linePitch="360"/>
        </w:sectPr>
      </w:pPr>
      <w:r>
        <w:rPr>
          <w:rFonts w:cs="Calibri"/>
          <w:color w:val="auto"/>
          <w:lang w:val="pt-BR"/>
        </w:rPr>
        <w:t xml:space="preserve">Estrutura global de CCCM. </w:t>
      </w:r>
    </w:p>
    <w:p w14:paraId="6C5614A4" w14:textId="77777777" w:rsidR="002A4D73" w:rsidRDefault="002A4D73">
      <w:pPr>
        <w:widowControl w:val="0"/>
        <w:autoSpaceDE w:val="0"/>
        <w:autoSpaceDN w:val="0"/>
        <w:adjustRightInd w:val="0"/>
        <w:rPr>
          <w:rFonts w:asciiTheme="minorHAnsi" w:eastAsia="MS Gothic" w:hAnsiTheme="minorHAnsi" w:cstheme="minorHAnsi"/>
          <w:b/>
          <w:sz w:val="28"/>
          <w:szCs w:val="28"/>
          <w:lang w:val="en-GB"/>
        </w:rPr>
      </w:pPr>
    </w:p>
    <w:p w14:paraId="6C5614A5" w14:textId="77777777" w:rsidR="002A4D73" w:rsidRDefault="00F13375">
      <w:pPr>
        <w:rPr>
          <w:rFonts w:asciiTheme="minorHAnsi" w:hAnsiTheme="minorHAnsi" w:cstheme="minorHAnsi"/>
          <w:b/>
          <w:bCs/>
          <w:color w:val="2A87C8"/>
          <w:sz w:val="28"/>
          <w:szCs w:val="28"/>
          <w:lang w:val="en-GB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Acompanhamento operacional (indicadores)</w:t>
      </w:r>
    </w:p>
    <w:p w14:paraId="6C5614A6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>Identificação do ponto focal nacional e a equipe pesquisou e compreende suas responsabilidades na resposta a emergências (sim/não).</w:t>
      </w:r>
    </w:p>
    <w:p w14:paraId="6C5614A7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>Cópia da carta de ativação do grupo</w:t>
      </w:r>
      <w:r>
        <w:rPr>
          <w:rFonts w:cs="Calibri"/>
          <w:color w:val="auto"/>
          <w:lang w:val="pt-BR"/>
        </w:rPr>
        <w:t xml:space="preserve"> (acordos com parceiros) e/ou participação ativa em fóruns de grupos de trabalho (sim/não).</w:t>
      </w:r>
    </w:p>
    <w:p w14:paraId="6C5614A8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>Entrega às autoridades locais/plano de construção de capacidade para fechamento de acampamento (sim/não).</w:t>
      </w:r>
    </w:p>
    <w:p w14:paraId="6C5614A9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>Mapeamento de agentes realizado em 1 mês após o estabeleci</w:t>
      </w:r>
      <w:r>
        <w:rPr>
          <w:rFonts w:cs="Calibri"/>
          <w:color w:val="auto"/>
          <w:lang w:val="pt-BR"/>
        </w:rPr>
        <w:t>mento das operações (sim/não).</w:t>
      </w:r>
    </w:p>
    <w:p w14:paraId="6C5614AA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>Uma lista de contatos atualizada é mantida e todos os planos de trabalho dos parceiros são registrados (sim/não).</w:t>
      </w:r>
    </w:p>
    <w:p w14:paraId="6C5614AB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>Desenvolvimento de TORs para cada função.</w:t>
      </w:r>
    </w:p>
    <w:p w14:paraId="6C5614AC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>Detalhamento demográfico por gênero/idade da população do acampamento</w:t>
      </w:r>
      <w:r>
        <w:rPr>
          <w:rFonts w:cs="Calibri"/>
          <w:color w:val="auto"/>
          <w:lang w:val="pt-BR"/>
        </w:rPr>
        <w:t xml:space="preserve"> (sim/não).</w:t>
      </w:r>
    </w:p>
    <w:p w14:paraId="6C5614AD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>Perfis do acampamento atualizados regularmente (sim/não).</w:t>
      </w:r>
    </w:p>
    <w:p w14:paraId="6C5614AE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>Metodologia para traçar o perfil da população do acampamento (sim/não) ou plano de ação para apoiar a elaboração de uma metodologia para traçar o perfil do acampamento.</w:t>
      </w:r>
    </w:p>
    <w:p w14:paraId="6C5614AF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 xml:space="preserve">Treinar a </w:t>
      </w:r>
      <w:r>
        <w:rPr>
          <w:rFonts w:cs="Calibri"/>
          <w:color w:val="auto"/>
          <w:lang w:val="pt-BR"/>
        </w:rPr>
        <w:t>equipe: número/qualidade dos treinamentos da equipe realizados, incluindo questões culturais e de proteção relacionadas à população deslocada, rotas de referência, PSEA [</w:t>
      </w:r>
      <w:r>
        <w:rPr>
          <w:rFonts w:cs="Calibri"/>
          <w:i/>
          <w:iCs/>
          <w:color w:val="auto"/>
          <w:lang w:val="pt-BR"/>
        </w:rPr>
        <w:t>Preventing Sexual Exploitation and Abuse</w:t>
      </w:r>
      <w:r>
        <w:rPr>
          <w:rFonts w:cs="Calibri"/>
          <w:color w:val="auto"/>
          <w:lang w:val="pt-BR"/>
        </w:rPr>
        <w:t xml:space="preserve"> (Prevenção da exploração e do abuso sexual)] etc.</w:t>
      </w:r>
    </w:p>
    <w:p w14:paraId="6C5614B0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>Informações fornecidas regularmente à população do acampamento (sim/não).</w:t>
      </w:r>
    </w:p>
    <w:p w14:paraId="6C5614B1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 xml:space="preserve">Contratar funcionários: número de funcionários do sexo feminino capazes de trabalhar no local (proporcional ao perfil da população </w:t>
      </w:r>
      <w:r>
        <w:rPr>
          <w:rFonts w:cs="Calibri"/>
          <w:color w:val="auto"/>
          <w:lang w:val="pt-BR"/>
        </w:rPr>
        <w:t>e às necessidades do acampamento).</w:t>
      </w:r>
    </w:p>
    <w:p w14:paraId="6C5614B2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>Governança e participação: número de mulheres envolvidas na liderança no acampamento.</w:t>
      </w:r>
    </w:p>
    <w:p w14:paraId="6C5614B3" w14:textId="77777777" w:rsidR="002A4D73" w:rsidRDefault="00F13375">
      <w:pPr>
        <w:pStyle w:val="CCCMbulletpoint"/>
        <w:framePr w:hSpace="180" w:wrap="around" w:vAnchor="text" w:hAnchor="text" w:y="1"/>
        <w:numPr>
          <w:ilvl w:val="0"/>
          <w:numId w:val="3"/>
        </w:numPr>
        <w:spacing w:before="0" w:after="120"/>
        <w:contextualSpacing w:val="0"/>
        <w:suppressOverlap/>
        <w:jc w:val="both"/>
        <w:rPr>
          <w:rFonts w:asciiTheme="minorHAnsi" w:hAnsiTheme="minorHAnsi" w:cstheme="minorHAnsi"/>
          <w:color w:val="auto"/>
          <w:lang w:val="pt-BR"/>
        </w:rPr>
      </w:pPr>
      <w:r>
        <w:rPr>
          <w:rFonts w:cs="Calibri"/>
          <w:color w:val="auto"/>
          <w:lang w:val="pt-BR"/>
        </w:rPr>
        <w:t>Monitoramento: número de auditorias de segurança, qualidade das informações compartilhadas com outros agentes e ações tomadas visando à</w:t>
      </w:r>
      <w:r>
        <w:rPr>
          <w:rFonts w:cs="Calibri"/>
          <w:color w:val="auto"/>
          <w:lang w:val="pt-BR"/>
        </w:rPr>
        <w:t xml:space="preserve"> resolução.</w:t>
      </w:r>
    </w:p>
    <w:p w14:paraId="6C5614B4" w14:textId="77777777" w:rsidR="002A4D73" w:rsidRDefault="00F13375">
      <w:pPr>
        <w:pStyle w:val="ListParagraph"/>
        <w:framePr w:hSpace="180" w:wrap="around" w:vAnchor="text" w:hAnchor="text" w:y="1"/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contextualSpacing w:val="0"/>
        <w:suppressOverlap/>
        <w:jc w:val="both"/>
        <w:rPr>
          <w:rFonts w:asciiTheme="minorHAnsi" w:hAnsiTheme="minorHAnsi" w:cstheme="minorHAnsi"/>
          <w:lang w:val="pt-BR"/>
        </w:rPr>
      </w:pPr>
      <w:r>
        <w:rPr>
          <w:rFonts w:cs="Calibri"/>
          <w:lang w:val="pt-BR"/>
        </w:rPr>
        <w:t>Participação: mapeamento da participação, comunicação com comunidades (</w:t>
      </w:r>
      <w:r>
        <w:rPr>
          <w:rFonts w:cs="Calibri"/>
          <w:i/>
          <w:iCs/>
          <w:lang w:val="pt-BR"/>
        </w:rPr>
        <w:t>Communication with Communities</w:t>
      </w:r>
      <w:r>
        <w:rPr>
          <w:rFonts w:cs="Calibri"/>
          <w:lang w:val="pt-BR"/>
        </w:rPr>
        <w:t>, CWC) visando a diferentes necessidades da população (incluindo pessoas com deficiências, jovens, mulheres, minorias).</w:t>
      </w:r>
    </w:p>
    <w:p w14:paraId="6C5614B5" w14:textId="77777777" w:rsidR="002A4D73" w:rsidRDefault="002A4D7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pt-BR"/>
        </w:rPr>
      </w:pPr>
    </w:p>
    <w:sectPr w:rsidR="002A4D73">
      <w:pgSz w:w="11906" w:h="16838" w:code="9"/>
      <w:pgMar w:top="2268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614B8" w14:textId="77777777" w:rsidR="002A4D73" w:rsidRDefault="00F13375">
      <w:r>
        <w:separator/>
      </w:r>
    </w:p>
  </w:endnote>
  <w:endnote w:type="continuationSeparator" w:id="0">
    <w:p w14:paraId="6C5614B9" w14:textId="77777777" w:rsidR="002A4D73" w:rsidRDefault="00F13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614BC" w14:textId="77777777" w:rsidR="002A4D73" w:rsidRDefault="002A4D73">
    <w:pPr>
      <w:pStyle w:val="Footer"/>
      <w:jc w:val="both"/>
      <w:rPr>
        <w:color w:val="2A87C8"/>
        <w:sz w:val="18"/>
        <w:szCs w:val="18"/>
      </w:rPr>
    </w:pPr>
  </w:p>
  <w:p w14:paraId="6C5614BD" w14:textId="77777777" w:rsidR="002A4D73" w:rsidRDefault="00F13375">
    <w:pPr>
      <w:pStyle w:val="Footer"/>
      <w:jc w:val="both"/>
      <w:rPr>
        <w:color w:val="2A87C8"/>
        <w:sz w:val="18"/>
        <w:szCs w:val="18"/>
        <w:lang w:val="pt-BR"/>
      </w:rPr>
    </w:pPr>
    <w:r>
      <w:rPr>
        <w:color w:val="2A87C8"/>
        <w:sz w:val="18"/>
        <w:szCs w:val="18"/>
        <w:lang w:val="pt-BR"/>
      </w:rPr>
      <w:t xml:space="preserve">Treinamento </w:t>
    </w:r>
    <w:r>
      <w:rPr>
        <w:color w:val="2A87C8"/>
        <w:sz w:val="18"/>
        <w:szCs w:val="18"/>
        <w:lang w:val="pt-BR"/>
      </w:rPr>
      <w:t xml:space="preserve">de CCCM           Módulo 2: Funções e responsabilidades                Pasta de referência                 www.globalcccmcluster.com          </w:t>
    </w:r>
  </w:p>
  <w:p w14:paraId="6C5614BE" w14:textId="77777777" w:rsidR="002A4D73" w:rsidRDefault="00F13375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>
          <w:rPr>
            <w:color w:val="000000" w:themeColor="text1"/>
            <w:sz w:val="22"/>
          </w:rPr>
          <w:fldChar w:fldCharType="begin"/>
        </w:r>
        <w:r>
          <w:rPr>
            <w:color w:val="000000" w:themeColor="text1"/>
            <w:sz w:val="22"/>
          </w:rPr>
          <w:instrText xml:space="preserve"> PAGE   \* MERGEFORMAT </w:instrText>
        </w:r>
        <w:r>
          <w:rPr>
            <w:color w:val="000000" w:themeColor="text1"/>
            <w:sz w:val="22"/>
          </w:rPr>
          <w:fldChar w:fldCharType="separate"/>
        </w:r>
        <w:r>
          <w:rPr>
            <w:noProof/>
            <w:color w:val="000000" w:themeColor="text1"/>
            <w:sz w:val="22"/>
          </w:rPr>
          <w:t>6</w:t>
        </w:r>
        <w:r>
          <w:rPr>
            <w:noProof/>
            <w:color w:val="000000" w:themeColor="text1"/>
            <w:sz w:val="22"/>
          </w:rPr>
          <w:fldChar w:fldCharType="end"/>
        </w:r>
      </w:sdtContent>
    </w:sdt>
  </w:p>
  <w:p w14:paraId="6C5614BF" w14:textId="77777777" w:rsidR="002A4D73" w:rsidRDefault="002A4D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614B6" w14:textId="77777777" w:rsidR="002A4D73" w:rsidRDefault="00F13375">
      <w:r>
        <w:separator/>
      </w:r>
    </w:p>
  </w:footnote>
  <w:footnote w:type="continuationSeparator" w:id="0">
    <w:p w14:paraId="6C5614B7" w14:textId="77777777" w:rsidR="002A4D73" w:rsidRDefault="00F13375">
      <w:r>
        <w:continuationSeparator/>
      </w:r>
    </w:p>
  </w:footnote>
  <w:footnote w:id="1">
    <w:p w14:paraId="6C5614C2" w14:textId="77777777" w:rsidR="002A4D73" w:rsidRDefault="00F13375">
      <w:pPr>
        <w:pStyle w:val="FootnoteText"/>
        <w:rPr>
          <w:sz w:val="20"/>
          <w:lang w:val="pt-BR"/>
        </w:rPr>
      </w:pPr>
      <w:r>
        <w:rPr>
          <w:rStyle w:val="FootnoteReference"/>
        </w:rPr>
        <w:footnoteRef/>
      </w:r>
      <w:r>
        <w:rPr>
          <w:sz w:val="20"/>
          <w:szCs w:val="20"/>
          <w:lang w:val="pt-BR"/>
        </w:rPr>
        <w:t>Ou Sistema Nacion</w:t>
      </w:r>
      <w:r>
        <w:rPr>
          <w:sz w:val="20"/>
          <w:szCs w:val="20"/>
          <w:lang w:val="pt-BR"/>
        </w:rPr>
        <w:t>al de Gestão de Desastres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614BA" w14:textId="77777777" w:rsidR="002A4D73" w:rsidRDefault="00F13375">
    <w:pPr>
      <w:pStyle w:val="Header"/>
    </w:pPr>
    <w:r>
      <w:rPr>
        <w:rFonts w:cs="Calibri"/>
        <w:b/>
        <w:bCs/>
        <w:sz w:val="36"/>
        <w:szCs w:val="36"/>
        <w:lang w:val="pt-BR"/>
      </w:rPr>
      <w:t>Pasta de referência</w:t>
    </w:r>
    <w:r>
      <w:rPr>
        <w:rFonts w:ascii="Cambria" w:eastAsia="Cambria" w:hAnsi="Cambria"/>
        <w:lang w:val="pt-BR"/>
      </w:rPr>
      <w:t xml:space="preserve"> </w:t>
    </w:r>
    <w:r>
      <w:rPr>
        <w:rFonts w:ascii="Cambria" w:hAnsi="Cambria"/>
        <w:noProof/>
        <w:lang w:eastAsia="zh-CN"/>
      </w:rPr>
      <w:drawing>
        <wp:anchor distT="0" distB="0" distL="114300" distR="114300" simplePos="0" relativeHeight="251658240" behindDoc="1" locked="0" layoutInCell="1" allowOverlap="1" wp14:anchorId="6C5614C0" wp14:editId="6C5614C1">
          <wp:simplePos x="0" y="0"/>
          <wp:positionH relativeFrom="page">
            <wp:posOffset>914400</wp:posOffset>
          </wp:positionH>
          <wp:positionV relativeFrom="page">
            <wp:posOffset>634365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Papel timbrado A4 da C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3911559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614BB" w14:textId="77777777" w:rsidR="002A4D73" w:rsidRDefault="002A4D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C1DB9"/>
    <w:multiLevelType w:val="hybridMultilevel"/>
    <w:tmpl w:val="D65C1EF6"/>
    <w:lvl w:ilvl="0" w:tplc="34AC2E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B005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5A8A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CCE0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9E6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7444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32FD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605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68A9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B781A"/>
    <w:multiLevelType w:val="hybridMultilevel"/>
    <w:tmpl w:val="D44E5D46"/>
    <w:lvl w:ilvl="0" w:tplc="1C7E7E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CAE078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360C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887C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380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B6CF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AC3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6C29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AFB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72536"/>
    <w:multiLevelType w:val="hybridMultilevel"/>
    <w:tmpl w:val="9FB44498"/>
    <w:lvl w:ilvl="0" w:tplc="A0FC6608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D0FCEC08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970C30F6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AA5058F8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BF4A1F7E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6DB059E2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957C5FDC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F96408BA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986BA08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4" w15:restartNumberingAfterBreak="0">
    <w:nsid w:val="70C03A4D"/>
    <w:multiLevelType w:val="hybridMultilevel"/>
    <w:tmpl w:val="CE869170"/>
    <w:lvl w:ilvl="0" w:tplc="CA7233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FAD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1828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057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6290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E6C6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E8A3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5004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D003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9385D"/>
    <w:multiLevelType w:val="hybridMultilevel"/>
    <w:tmpl w:val="0F2C90D0"/>
    <w:lvl w:ilvl="0" w:tplc="0A360F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1E6E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704D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5C64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479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CC1B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45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428E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3C1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1D0D61"/>
    <w:multiLevelType w:val="hybridMultilevel"/>
    <w:tmpl w:val="F0FE02E6"/>
    <w:lvl w:ilvl="0" w:tplc="3ECEB9F8">
      <w:start w:val="1"/>
      <w:numFmt w:val="bullet"/>
      <w:pStyle w:val="CCCMbulletpoint"/>
      <w:lvlText w:val=""/>
      <w:lvlJc w:val="left"/>
      <w:pPr>
        <w:ind w:left="360" w:hanging="360"/>
      </w:pPr>
      <w:rPr>
        <w:rFonts w:ascii="Wingdings 2" w:hAnsi="Wingdings 2" w:hint="default"/>
        <w:color w:val="0077C0"/>
      </w:rPr>
    </w:lvl>
    <w:lvl w:ilvl="1" w:tplc="E3446A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B02488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68EC5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A62311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DA8F5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D14564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B4E099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4AA5D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9F5216"/>
    <w:multiLevelType w:val="hybridMultilevel"/>
    <w:tmpl w:val="95847984"/>
    <w:lvl w:ilvl="0" w:tplc="9CAE4A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AE1B2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E3F271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58A19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784B4F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98F2238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210973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2D85F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4762D2D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D73"/>
    <w:rsid w:val="002A4D73"/>
    <w:rsid w:val="00F1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561434"/>
  <w15:chartTrackingRefBased/>
  <w15:docId w15:val="{7D471A7F-C6E2-499F-A88E-BAF26677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normaltextrun">
    <w:name w:val="normaltextrun"/>
  </w:style>
  <w:style w:type="character" w:customStyle="1" w:styleId="Heading1Char">
    <w:name w:val="Heading 1 Char"/>
    <w:basedOn w:val="DefaultParagraphFont"/>
    <w:link w:val="Heading1"/>
    <w:uiPriority w:val="9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iPriority w:val="99"/>
    <w:unhideWhenUsed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NormalWeb">
    <w:name w:val="Normal (Web)"/>
    <w:basedOn w:val="Normal"/>
    <w:uiPriority w:val="99"/>
    <w:pPr>
      <w:spacing w:beforeLines="1" w:afterLines="1"/>
    </w:pPr>
    <w:rPr>
      <w:rFonts w:ascii="Times" w:hAnsi="Times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aliases w:val="Premier"/>
    <w:basedOn w:val="Normal"/>
    <w:link w:val="ListParagraphChar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ListParagraphChar">
    <w:name w:val="List Paragraph Char"/>
    <w:aliases w:val="Premier Char"/>
    <w:basedOn w:val="DefaultParagraphFont"/>
    <w:link w:val="ListParagraph"/>
    <w:uiPriority w:val="34"/>
    <w:rPr>
      <w:rFonts w:ascii="Calibri" w:eastAsia="Calibri" w:hAnsi="Calibri" w:cs="Times New Roman"/>
      <w:sz w:val="24"/>
      <w:szCs w:val="24"/>
    </w:rPr>
  </w:style>
  <w:style w:type="paragraph" w:customStyle="1" w:styleId="CCCMcontenttext">
    <w:name w:val="CCCM_content_text"/>
    <w:link w:val="CCCMcontenttextChar"/>
    <w:qFormat/>
    <w:pPr>
      <w:spacing w:after="100" w:line="240" w:lineRule="auto"/>
    </w:pPr>
    <w:rPr>
      <w:rFonts w:ascii="Calibri" w:hAnsi="Calibri"/>
      <w:color w:val="404040"/>
    </w:rPr>
  </w:style>
  <w:style w:type="character" w:customStyle="1" w:styleId="CCCMcontenttextChar">
    <w:name w:val="CCCM_content_text Char"/>
    <w:basedOn w:val="DefaultParagraphFont"/>
    <w:link w:val="CCCMcontenttext"/>
    <w:rPr>
      <w:rFonts w:ascii="Calibri" w:hAnsi="Calibri"/>
      <w:color w:val="404040"/>
    </w:rPr>
  </w:style>
  <w:style w:type="paragraph" w:customStyle="1" w:styleId="CCCMbulletpoint">
    <w:name w:val="CCCM_bullet_point"/>
    <w:basedOn w:val="ListParagraph"/>
    <w:link w:val="CCCMbulletpointChar"/>
    <w:pPr>
      <w:numPr>
        <w:numId w:val="5"/>
      </w:numPr>
      <w:spacing w:before="100" w:after="100"/>
      <w:ind w:left="284" w:hanging="284"/>
    </w:pPr>
    <w:rPr>
      <w:color w:val="404040"/>
    </w:rPr>
  </w:style>
  <w:style w:type="character" w:customStyle="1" w:styleId="CCCMbulletpointChar">
    <w:name w:val="CCCM_bullet_point Char"/>
    <w:basedOn w:val="ListParagraphChar"/>
    <w:link w:val="CCCMbulletpoint"/>
    <w:rPr>
      <w:rFonts w:ascii="Calibri" w:eastAsia="Calibri" w:hAnsi="Calibri" w:cs="Times New Roman"/>
      <w:color w:val="404040"/>
      <w:sz w:val="24"/>
      <w:szCs w:val="24"/>
    </w:rPr>
  </w:style>
  <w:style w:type="character" w:customStyle="1" w:styleId="eop">
    <w:name w:val="eop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lobalcccmcluster.org/tools-and-guidance/publications/collective-centre-guidelines" TargetMode="External"/><Relationship Id="rId18" Type="http://schemas.openxmlformats.org/officeDocument/2006/relationships/hyperlink" Target="https://www.unocha.org/sites/dms/Documents/Oslo%20Guidelines%20ENGLISH%20(November%202007)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cmtoolkit.org/media/transfer/doc/chapter_2.pdf" TargetMode="External"/><Relationship Id="rId17" Type="http://schemas.openxmlformats.org/officeDocument/2006/relationships/hyperlink" Target="http://www.unhcr.org/4c2355229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mergencymanual.iom.int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liefweb.int/report/world/alnap-meeting-paper-role-national-governments-international-humanitarian-respons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alnap.org/system/files/content/resource/files/main/iasc-guidance-on-working-with-national-authorities-july2011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washingtongroup-disability.com/washington-group-question-sets/short-set-of-disability-question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lobalcccmcluster.org/system/files/publications/Camp_Closure_Guidelines.pdf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87A36D-B880-4E0B-8A77-89CF696407AE}">
  <ds:schemaRefs>
    <ds:schemaRef ds:uri="72eb3475-e0f4-42fd-ab5c-abe08d673cdb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4d2685e0-3ec3-4526-a337-bc02c6b3961c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EE80E2A-CA5A-4DBA-960A-370D5B0FDA30}">
  <ds:schemaRefs/>
</ds:datastoreItem>
</file>

<file path=customXml/itemProps4.xml><?xml version="1.0" encoding="utf-8"?>
<ds:datastoreItem xmlns:ds="http://schemas.openxmlformats.org/officeDocument/2006/customXml" ds:itemID="{FE457938-DCCC-4432-91CA-11ACD0782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2405</Words>
  <Characters>13711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16084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US0823953</dc:title>
  <dc:creator>KARAPANDI Erica</dc:creator>
  <cp:lastModifiedBy>Cynthia Birikundavyi</cp:lastModifiedBy>
  <cp:revision>12</cp:revision>
  <cp:lastPrinted>2018-09-04T09:43:00Z</cp:lastPrinted>
  <dcterms:created xsi:type="dcterms:W3CDTF">2019-01-18T14:38:00Z</dcterms:created>
  <dcterms:modified xsi:type="dcterms:W3CDTF">2020-11-23T22:14:00Z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12</vt:lpwstr>
  </property>
  <property fmtid="{D5CDD505-2E9C-101B-9397-08002B2CF9AE}" pid="3" name="ComplianceAssetId">
    <vt:lpwstr/>
  </property>
  <property fmtid="{D5CDD505-2E9C-101B-9397-08002B2CF9AE}" pid="4" name="ContentTypeId">
    <vt:lpwstr>0x0101002311F0AB4D861F4989F82902B990608D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xd_Signature">
    <vt:bool>false</vt:bool>
  </property>
</Properties>
</file>