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Type de test :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Pré-test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Post-test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3 à 6 mois après la 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Type de formation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CCCM/VBG</w:t>
      </w:r>
    </w:p>
    <w:p w:rsidR="00000000" w:rsidDel="00000000" w:rsidP="00000000" w:rsidRDefault="00000000" w:rsidRPr="00000000" w14:paraId="0000000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de la formation (jj/mm/aa) :______________________</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Localisation de la formation (ville, pays) :__________________</w:t>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(Nom, Prénom) :______________________</w:t>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Poste :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Assistant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Responsable</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Manager</w:t>
      </w:r>
      <w:r w:rsidDel="00000000" w:rsidR="00000000" w:rsidRPr="00000000">
        <w:rPr>
          <w:sz w:val="22"/>
          <w:szCs w:val="22"/>
          <w:rtl w:val="0"/>
        </w:rPr>
        <w:tab/>
      </w:r>
      <w:r w:rsidDel="00000000" w:rsidR="00000000" w:rsidRPr="00000000">
        <w:rPr>
          <w:rFonts w:ascii="Calibri" w:cs="Calibri" w:eastAsia="Calibri" w:hAnsi="Calibri"/>
          <w:sz w:val="22"/>
          <w:szCs w:val="22"/>
          <w:rtl w:val="0"/>
        </w:rPr>
        <w:t xml:space="preserve">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Coordinateur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 ☐</w:t>
      </w:r>
      <w:r w:rsidDel="00000000" w:rsidR="00000000" w:rsidRPr="00000000">
        <w:rPr>
          <w:rFonts w:ascii="Calibri" w:cs="Calibri" w:eastAsia="Calibri" w:hAnsi="Calibri"/>
          <w:sz w:val="22"/>
          <w:szCs w:val="22"/>
          <w:rtl w:val="0"/>
        </w:rPr>
        <w:t xml:space="preserve"> Spécialiste</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 (spécifier) : _______________________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Sexe : </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Masculin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Féminin</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Organisation : </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OIM</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HCR</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ONG (spécifier) : _____________________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Gouvernement (spécifier) : _______________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 (spécifier) : 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CCCM</w:t>
      </w:r>
    </w:p>
    <w:p w:rsidR="00000000" w:rsidDel="00000000" w:rsidP="00000000" w:rsidRDefault="00000000" w:rsidRPr="00000000" w14:paraId="0000001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Veuillez cocher la bonne réponse - le cas échéant, cocher plus d'une réponse</w:t>
        <w:br w:type="textWrapping"/>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Selon vous, quelles sont les principales activités en termes de gestion des sites ?</w:t>
      </w:r>
    </w:p>
    <w:p w:rsidR="00000000" w:rsidDel="00000000" w:rsidP="00000000" w:rsidRDefault="00000000" w:rsidRPr="00000000" w14:paraId="0000001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Collecte d'informations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B">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Enregistrement et suivi des cas vulnérables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C">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Participation communautaire, y compris les personnes marginalisées et vulnérables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activités une agence peut-elle conduire pour améliorer le niveau de protection dans un camp ?</w:t>
        <w:br w:type="textWrapping"/>
      </w:r>
    </w:p>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Être présent sur un site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Organiser des campagnes de sensibilisation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Identifier les PDI ayant des besoins de protection particuliers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Partager des informations sur les personnes déplacées vulnérables avec chaque acteur humanitaire dans le contexte donné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responsabilités suivantes, lesquelles appartiennent à l'Agence de gestion des camps ?</w:t>
        <w:br w:type="textWrapping"/>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 ☐</w:t>
      </w:r>
      <w:r w:rsidDel="00000000" w:rsidR="00000000" w:rsidRPr="00000000">
        <w:rPr>
          <w:rFonts w:ascii="Calibri" w:cs="Calibri" w:eastAsia="Calibri" w:hAnsi="Calibri"/>
          <w:sz w:val="22"/>
          <w:szCs w:val="22"/>
          <w:rtl w:val="0"/>
        </w:rPr>
        <w:t xml:space="preserve"> Mise en place des mécanismes de gouvernance et de participation/mobilisation de la communauté sur le site collectif (par exemple, créer des comités)</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28">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Maintien de l'ordre public et du caractère civil d'un site collectif</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9">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Délivrance de documents d'identité tels que des cartes de statut, des permis ou des certificats de naissance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A">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Collecte et conservation des données pour identifier les lacunes dans la fourniture de la protection et de l'assistance et éviter la duplication des activités dans un site collectif</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À quel stade du cycle de vie du camp la participation doit-elle avoir lieu ?</w:t>
        <w:br w:type="textWrapping"/>
        <w:t xml:space="preserve"> </w:t>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Planning et mise en place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F">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Entretien et maintenance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0">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Fermeture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 est chargé de faire respecter les droits des personnes déplacées vivant dans des camps ?</w:t>
        <w:br w:type="textWrapping"/>
        <w:t xml:space="preserve"> </w:t>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Les NU</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5">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Les ONGI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6">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 gouvernement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Les PDI elles-mêmes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L'objectif de la coordination est de...</w:t>
        <w:br w:type="textWrapping"/>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discuter de la Coupe du monde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C">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planifier ensemble la poursuite d'objectifs communs et convenus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D">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indiquer aux parties prenantes ce qu'elles doivent faire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E">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assurer la protection de la population des camps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types d'informations doivent être recueillis par l'Agence de gestion des camps ?</w:t>
        <w:br w:type="textWrapping"/>
        <w:t xml:space="preserve"> </w:t>
      </w:r>
    </w:p>
    <w:p w:rsidR="00000000" w:rsidDel="00000000" w:rsidP="00000000" w:rsidRDefault="00000000" w:rsidRPr="00000000" w14:paraId="0000004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Âge, sexe, noms et composition de la famille des personnes déplacées vivant dans le camp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Informations sur les services disponibles à l'intérieur et à l'extérieur du camp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4">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Informations sur les besoins des personnes déplacées vivant dans les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5">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Informations sur les opinions politiques des PDI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établir de bons partenariats avec d'autres acteurs, il est important de...</w:t>
        <w:br w:type="textWrapping"/>
        <w:t xml:space="preserve"> </w:t>
      </w:r>
    </w:p>
    <w:p w:rsidR="00000000" w:rsidDel="00000000" w:rsidP="00000000" w:rsidRDefault="00000000" w:rsidRPr="00000000" w14:paraId="0000004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être transparent et promouvoir le partage d'informations.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A">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traiter les autres acteurs avec respect, quelle que soit leur taille ou leur puissance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chercher des partenaires qui disposent de fonds conséquents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ne prendre des engagements que lorsque vous avez la capacité de les remplir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VBG</w:t>
      </w:r>
    </w:p>
    <w:p w:rsidR="00000000" w:rsidDel="00000000" w:rsidP="00000000" w:rsidRDefault="00000000" w:rsidRPr="00000000" w14:paraId="00000050">
      <w:pPr>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51">
      <w:pP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Pour les questions suivantes (questions 1 à 10), veuillez ne cocher qu'une seule réponse : </w:t>
      </w:r>
    </w:p>
    <w:p w:rsidR="00000000" w:rsidDel="00000000" w:rsidP="00000000" w:rsidRDefault="00000000" w:rsidRPr="00000000" w14:paraId="00000052">
      <w:pPr>
        <w:spacing w:after="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Lequel des éléments suivants peut-être considéré comme un type de VBG ?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 Agression sexuelle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B. Agression physique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 Violence psychologique/émotionnelle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 Mariage précoce/forcé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E. Refus de ressources, d'opportunités, de services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 Viol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G.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H. Seulement A et F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est possible que les activités et les interventions du CCCM augmentent encore les vulnérabilités qui conduisent à la violence sexiste.</w:t>
        <w:br w:type="textWrapping"/>
        <w:t xml:space="preserve">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personnel du CCCM qui rencontre un cas de VBG doit demander aux survivants des détails sur l'incidence de la violence qu'ils ont subie.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site de 12 500 m</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 maintenant devenu le foyer de plus de 5 000 personnes déplacées depuis près de quatre mois. Il n'y a qu'une seule pompe à eau et les filles doivent se déplacer à l'extérieur du camp pour aller chercher de l'eau. Les latrines sont mal construites et n'ont pas de portes, un comité de gestion du camp ne compte qu'une seule femme représentée avec une capacité de décision limitée. L'agence de gestion du camp a demandé à l'armée de surveiller les incidents de sécurité au lieu de répondre aux besoins fondamentaux des personnes déplacées vivant dans le camp. Énumérez les risques de violence liée au sexe qui sont présents sur le site. </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La surpopulation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Manque d'intimité dans les salles de bains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F">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Accès insuffisant aux points d'eau</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70">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Manque de représentation féminine dans les structures de gestion des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acteurs du secteur/groupe qui ne travaillent pas spécifiquement sur les programmes de lutte contre la VBG devraient rechercher des survivants de la violence liée au sexe lorsqu'ils effectuent des évaluations pour les interroger sur leur expérience de la violence liée au sexe.</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données personnelles du survivant (c'est-à-dire toute information permettant d'identifier un individu) doivent être partagées entre le personnel du programme et d'autres groupes afin de garantir un meilleur accès aux services pour le survivant. </w:t>
      </w:r>
      <w:r w:rsidDel="00000000" w:rsidR="00000000" w:rsidRPr="00000000">
        <w:rPr>
          <w:rFonts w:ascii="Calibri" w:cs="Calibri" w:eastAsia="Calibri" w:hAnsi="Calibri"/>
          <w:b w:val="0"/>
          <w:i w:val="1"/>
          <w:smallCaps w:val="0"/>
          <w:strike w:val="0"/>
          <w:color w:val="000000"/>
          <w:sz w:val="22"/>
          <w:szCs w:val="22"/>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0">
      <w:pP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Pour les questions suivantes (questions 7 à 15), cochez toutes les réponses qui s'appliquent :</w:t>
        <w:br w:type="textWrapping"/>
        <w:t xml:space="preserve"> </w:t>
      </w:r>
    </w:p>
    <w:p w:rsidR="00000000" w:rsidDel="00000000" w:rsidP="00000000" w:rsidRDefault="00000000" w:rsidRPr="00000000" w14:paraId="0000008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principes centrés sur les survivants comprennent :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Garantir la sécurité du survivant</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85">
      <w:pPr>
        <w:ind w:left="720" w:hanging="36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Traiter le survivant avec respect et protéger sa dignité</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8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Toujours signaler l'incident aux forces de l'ordre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Fournir au survivant des informations complètes sur les services disponibles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points suivants, quels sont ceux qui peuvent constituer des vulnérabilités susceptibles d'accroître le risque de violence liée au sexe ?</w:t>
        <w:br w:type="textWrapping"/>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Handicap</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8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Âge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État civil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F">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Religion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0">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Orientation sexuelle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Accès aux ressources financières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exemples suivants peuvent être des stratégies d'atténuation des risques de VBG dans les infrastructures des sites/accès aux services :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Un espace réservé aux femmes, au centre du camp, pour les survivantes de la violence liée au sexe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Cliniques construites avec une salle séparée pour la consultation privée des survivants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Latrines séparées par sexe avec éclairage à l'intérieur et à l'extérieur des latrines et des toilettes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Mise à disposition d'abris fermés dans les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Saisie de données divisées par sexe dans l'évaluation de l'accès aux services des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exemples suivants peuvent être des stratégies d'atténuation des risques de VBG en matière de sécurité et de sûreté des sites :</w:t>
        <w:br w:type="textWrapping"/>
        <w:t xml:space="preserve"> </w:t>
      </w:r>
    </w:p>
    <w:p w:rsidR="00000000" w:rsidDel="00000000" w:rsidP="00000000" w:rsidRDefault="00000000" w:rsidRPr="00000000" w14:paraId="0000009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F">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Surveillance policière/sécuritaire des points d'eau et des latrines aux moments critiques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0">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Le personnel assurant la sécurité est formé à la prévention de l'exploitation et des abus sexuels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Les bénéficiaires, en particulier les femmes et les filles, sont consultées et/ou impliquées lors de la cartographie et de l'évaluation des risques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Limiter le nombre de points d'entrée dans un camp pour les personnes ne résidant pas dans le camp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une femme dit à un membre du personnel du CCCM qu'elle a été violée, le rôle du personnel du CCCM est de : </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Faire un rapport sur ce qui s'est passé au chef d'équipe (sans fournir de détails/informations permettant d'identifier le survivant, sauf si celui-ci y a consenti en connaissance de cause)</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A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Inscrivez le nom du survivant et l'incident dans les formulaires de suivi du programme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Remercier le survivant de vous avoir fait confiance, le rassurer et lui faire part des services dont il ou elle dispose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Accompagner le survivant dans un établissement de santé ou lui apporter un soutien psychosocial s'il/elle y consent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sont les quatre services spécialisés dont une victime de violence liée au sexe pourrait avoir besoin ?</w:t>
        <w:br w:type="textWrapping"/>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Santé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0">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Santé psychosociale/mentale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Police/sécurité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Aide juridique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WASH</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4">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Abri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5">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conseils suivants, lequel est nécessaire pour qu'un responsable de camp puisse orienter une victime de violence liée au sexe vers le(s) service(s) approprié(s) ?</w:t>
        <w:br w:type="textWrapping"/>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Répertoire des services</w:t>
        <w:br w:type="textWrapping"/>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Parcours d'orientation inter-agences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Normes de référence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Stratégie des clusters du CCCM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F">
      <w:pPr>
        <w:ind w:left="360" w:firstLine="0"/>
        <w:rPr>
          <w:rFonts w:ascii="Calibri" w:cs="Calibri" w:eastAsia="Calibri" w:hAnsi="Calibri"/>
          <w:sz w:val="22"/>
          <w:szCs w:val="22"/>
        </w:rPr>
      </w:pPr>
      <w:r w:rsidDel="00000000" w:rsidR="00000000" w:rsidRPr="00000000">
        <w:rPr>
          <w:rFonts w:ascii="MS Gothic" w:cs="MS Gothic" w:eastAsia="MS Gothic" w:hAnsi="MS Gothic"/>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1">
      <w:pPr>
        <w:spacing w:after="160" w:line="259" w:lineRule="auto"/>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parcours d'orientation est :</w:t>
        <w:br w:type="textWrapping"/>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Une carte visuelle du camp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5">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Définition des rôles et responsabilités de chaque acteur dans la réponse à un incident de VBG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 chemin qu'emprunte un survivant pour se sentir mieux après l'incident de la VBG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Document inter-agences sur les services disponibles pour les victimes de la violence liée au sexe dans un lieu spécifique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action(s) avez-vous entreprise(s) pour généraliser la lutte contre la VBG dans votre opération ?</w:t>
      </w:r>
    </w:p>
    <w:p w:rsidR="00000000" w:rsidDel="00000000" w:rsidP="00000000" w:rsidRDefault="00000000" w:rsidRPr="00000000" w14:paraId="000000CB">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C">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CD">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E">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CF">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0">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1">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2">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3">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4">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5">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6">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9">
      <w:pPr>
        <w:spacing w:after="20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Merci d'avoir fait le test.</w:t>
      </w:r>
    </w:p>
    <w:p w:rsidR="00000000" w:rsidDel="00000000" w:rsidP="00000000" w:rsidRDefault="00000000" w:rsidRPr="00000000" w14:paraId="000000DA">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C">
      <w:pPr>
        <w:rPr>
          <w:rFonts w:ascii="Calibri" w:cs="Calibri" w:eastAsia="Calibri" w:hAnsi="Calibri"/>
        </w:rPr>
      </w:pPr>
      <w:r w:rsidDel="00000000" w:rsidR="00000000" w:rsidRPr="00000000">
        <w:rPr>
          <w:rtl w:val="0"/>
        </w:rPr>
      </w:r>
    </w:p>
    <w:sectPr>
      <w:headerReference r:id="rId6" w:type="default"/>
      <w:footerReference r:id="rId7" w:type="default"/>
      <w:pgSz w:h="16838" w:w="11906"/>
      <w:pgMar w:bottom="1440" w:top="2268" w:left="1440"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MS Gothic"/>
  <w:font w:name="Cambr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CCCM                                               CCCM Test de formation</w:t>
      <w:br w:type="textWrapping"/>
      <w:t xml:space="preserve">www.globalcccmcluster.com </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spacing w:line="276" w:lineRule="auto"/>
      <w:rPr>
        <w:rFonts w:ascii="Calibri" w:cs="Calibri" w:eastAsia="Calibri" w:hAnsi="Calibri"/>
        <w:b w:val="1"/>
        <w:color w:val="2a87c8"/>
        <w:sz w:val="36"/>
        <w:szCs w:val="36"/>
      </w:rPr>
    </w:pPr>
    <w:r w:rsidDel="00000000" w:rsidR="00000000" w:rsidRPr="00000000">
      <w:rPr>
        <w:rFonts w:ascii="Cambria" w:cs="Cambria" w:eastAsia="Cambria" w:hAnsi="Cambria"/>
        <w:color w:val="2a87c8"/>
        <w:sz w:val="32"/>
        <w:szCs w:val="32"/>
      </w:rPr>
      <w:drawing>
        <wp:anchor allowOverlap="1" behindDoc="0" distB="0" distT="0" distL="114300" distR="114300" hidden="0" layoutInCell="1" locked="0" relativeHeight="0" simplePos="0">
          <wp:simplePos x="0" y="0"/>
          <wp:positionH relativeFrom="page">
            <wp:posOffset>913764</wp:posOffset>
          </wp:positionH>
          <wp:positionV relativeFrom="page">
            <wp:posOffset>775497</wp:posOffset>
          </wp:positionV>
          <wp:extent cx="5941695" cy="759460"/>
          <wp:effectExtent b="0" l="0" r="0" t="0"/>
          <wp:wrapSquare wrapText="bothSides" distB="0" distT="0" distL="114300" distR="114300"/>
          <wp:docPr descr="CCCM letterhead A4" id="1" name="image1.png"/>
          <a:graphic>
            <a:graphicData uri="http://schemas.openxmlformats.org/drawingml/2006/picture">
              <pic:pic>
                <pic:nvPicPr>
                  <pic:cNvPr descr="CCCM letterhead A4" id="0" name="image1.png"/>
                  <pic:cNvPicPr preferRelativeResize="0"/>
                </pic:nvPicPr>
                <pic:blipFill>
                  <a:blip r:embed="rId1"/>
                  <a:srcRect b="0" l="0" r="0" t="0"/>
                  <a:stretch>
                    <a:fillRect/>
                  </a:stretch>
                </pic:blipFill>
                <pic:spPr>
                  <a:xfrm>
                    <a:off x="0" y="0"/>
                    <a:ext cx="5941695" cy="759460"/>
                  </a:xfrm>
                  <a:prstGeom prst="rect"/>
                  <a:ln/>
                </pic:spPr>
              </pic:pic>
            </a:graphicData>
          </a:graphic>
        </wp:anchor>
      </w:drawing>
    </w:r>
    <w:r w:rsidDel="00000000" w:rsidR="00000000" w:rsidRPr="00000000">
      <w:rPr>
        <w:rFonts w:ascii="Calibri" w:cs="Calibri" w:eastAsia="Calibri" w:hAnsi="Calibri"/>
        <w:b w:val="1"/>
        <w:color w:val="2a87c8"/>
        <w:sz w:val="36"/>
        <w:szCs w:val="36"/>
        <w:rtl w:val="0"/>
      </w:rPr>
      <w:t xml:space="preserve">Test pré/post formation du CCCM</w:t>
    </w:r>
  </w:p>
  <w:p w:rsidR="00000000" w:rsidDel="00000000" w:rsidP="00000000" w:rsidRDefault="00000000" w:rsidRPr="00000000" w14:paraId="000000DE">
    <w:pPr>
      <w:spacing w:line="276" w:lineRule="auto"/>
      <w:rPr>
        <w:rFonts w:ascii="Calibri" w:cs="Calibri" w:eastAsia="Calibri" w:hAnsi="Calibri"/>
        <w:b w:val="1"/>
        <w:color w:val="2a87c8"/>
        <w:sz w:val="36"/>
        <w:szCs w:val="36"/>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i w:val="0"/>
      </w:rPr>
    </w:lvl>
    <w:lvl w:ilvl="1">
      <w:start w:val="1"/>
      <w:numFmt w:val="lowerLetter"/>
      <w:lvlText w:val="%2."/>
      <w:lvlJc w:val="left"/>
      <w:pPr>
        <w:ind w:left="72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