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ED" w:rsidRDefault="00BB58ED" w:rsidP="00BB58ED">
      <w:pPr>
        <w:pStyle w:val="GeneralHeading1"/>
        <w:jc w:val="center"/>
        <w:rPr>
          <w:sz w:val="24"/>
        </w:rPr>
      </w:pPr>
      <w:bookmarkStart w:id="0" w:name="DocumentBody"/>
      <w:bookmarkStart w:id="1" w:name="_GoBack"/>
      <w:bookmarkEnd w:id="0"/>
      <w:bookmarkEnd w:id="1"/>
      <w:r w:rsidRPr="00D76FED">
        <w:rPr>
          <w:sz w:val="24"/>
        </w:rPr>
        <w:t xml:space="preserve">Housing, Land and Property </w:t>
      </w:r>
      <w:r>
        <w:rPr>
          <w:sz w:val="24"/>
        </w:rPr>
        <w:t xml:space="preserve">Mapping Project </w:t>
      </w:r>
    </w:p>
    <w:p w:rsidR="00BB58ED" w:rsidRDefault="00BB58ED" w:rsidP="00BB58ED">
      <w:pPr>
        <w:pStyle w:val="GeneralHeading1"/>
        <w:jc w:val="center"/>
        <w:rPr>
          <w:sz w:val="24"/>
        </w:rPr>
      </w:pPr>
      <w:r>
        <w:rPr>
          <w:sz w:val="24"/>
        </w:rPr>
        <w:t>Tonga</w:t>
      </w:r>
    </w:p>
    <w:p w:rsidR="00BB58ED" w:rsidRDefault="00BB58ED" w:rsidP="00BB58ED"/>
    <w:p w:rsidR="00BB58ED" w:rsidRPr="006233C9" w:rsidRDefault="00BB58ED" w:rsidP="00BB58ED">
      <w:pPr>
        <w:rPr>
          <w:b/>
          <w:sz w:val="22"/>
          <w:szCs w:val="22"/>
        </w:rPr>
      </w:pPr>
      <w:r w:rsidRPr="006233C9">
        <w:rPr>
          <w:b/>
          <w:sz w:val="22"/>
          <w:szCs w:val="22"/>
        </w:rPr>
        <w:t>Background</w:t>
      </w:r>
    </w:p>
    <w:p w:rsidR="00BB58ED" w:rsidRDefault="00BB58ED" w:rsidP="00BB58ED">
      <w:r>
        <w:t>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will assist in delivering stronger and more equitable responses.</w:t>
      </w:r>
    </w:p>
    <w:p w:rsidR="00BB58ED" w:rsidRDefault="00BB58ED" w:rsidP="00BB58ED">
      <w:r>
        <w:t xml:space="preserve">The HLP mapping project has been undertaken by </w:t>
      </w:r>
      <w:proofErr w:type="spellStart"/>
      <w:proofErr w:type="gramStart"/>
      <w:r>
        <w:t>Allens</w:t>
      </w:r>
      <w:proofErr w:type="spellEnd"/>
      <w:proofErr w:type="gramEnd"/>
      <w:r>
        <w:t xml:space="preserve"> lawyers, using templates developed by the Australian Red Cross (ARC) and the International Federation of the Red Cross and Red Crescent Societies (IFRC). All of the research has gone</w:t>
      </w:r>
      <w:r w:rsidRPr="008C52A6">
        <w:t xml:space="preserve"> through a verification process with in country lawyers and/or country expert</w:t>
      </w:r>
      <w:r>
        <w:t>s.</w:t>
      </w:r>
    </w:p>
    <w:p w:rsidR="00BB58ED" w:rsidRDefault="00BB58ED" w:rsidP="00BB58ED"/>
    <w:p w:rsidR="00BB58ED" w:rsidRPr="006233C9" w:rsidRDefault="00BB58ED" w:rsidP="00BB58ED">
      <w:pPr>
        <w:rPr>
          <w:b/>
          <w:sz w:val="22"/>
          <w:szCs w:val="22"/>
        </w:rPr>
      </w:pPr>
      <w:r w:rsidRPr="006233C9">
        <w:rPr>
          <w:b/>
          <w:sz w:val="22"/>
          <w:szCs w:val="22"/>
        </w:rPr>
        <w:t>Document Change Management</w:t>
      </w:r>
    </w:p>
    <w:p w:rsidR="00BB58ED" w:rsidRDefault="00BB58ED" w:rsidP="00BB58ED">
      <w:r>
        <w:t>These documents are intended to be used and updated as necessary to ensure that they are always providing the most current and relevant information.  We would appreciate ongoing feedback and updates from those working in country, in response or preparedness.</w:t>
      </w:r>
    </w:p>
    <w:p w:rsidR="00BB58ED" w:rsidRDefault="00BB58ED" w:rsidP="00BB58ED">
      <w:r>
        <w:t xml:space="preserve">If you would like to make any changes to the document, please submit to the document manager via the below table. </w:t>
      </w:r>
    </w:p>
    <w:p w:rsidR="00BB58ED" w:rsidRPr="00336DE0" w:rsidRDefault="00BB58ED" w:rsidP="00BB58ED"/>
    <w:tbl>
      <w:tblPr>
        <w:tblStyle w:val="TableGrid"/>
        <w:tblW w:w="5092" w:type="pct"/>
        <w:tblLayout w:type="fixed"/>
        <w:tblLook w:val="04A0" w:firstRow="1" w:lastRow="0" w:firstColumn="1" w:lastColumn="0" w:noHBand="0" w:noVBand="1"/>
      </w:tblPr>
      <w:tblGrid>
        <w:gridCol w:w="1669"/>
        <w:gridCol w:w="2671"/>
        <w:gridCol w:w="4410"/>
        <w:gridCol w:w="998"/>
      </w:tblGrid>
      <w:tr w:rsidR="00BB58ED" w:rsidRPr="00436BEE" w:rsidTr="00277330">
        <w:trPr>
          <w:trHeight w:val="20"/>
        </w:trPr>
        <w:tc>
          <w:tcPr>
            <w:tcW w:w="856" w:type="pct"/>
          </w:tcPr>
          <w:p w:rsidR="00BB58ED" w:rsidRPr="006233C9" w:rsidRDefault="00BB58ED" w:rsidP="00277330">
            <w:pPr>
              <w:rPr>
                <w:b/>
              </w:rPr>
            </w:pPr>
            <w:r w:rsidRPr="006233C9">
              <w:rPr>
                <w:b/>
              </w:rPr>
              <w:t>Title</w:t>
            </w:r>
          </w:p>
        </w:tc>
        <w:tc>
          <w:tcPr>
            <w:tcW w:w="4144" w:type="pct"/>
            <w:gridSpan w:val="3"/>
          </w:tcPr>
          <w:p w:rsidR="00BB58ED" w:rsidRPr="006233C9" w:rsidRDefault="00C156B2" w:rsidP="00C156B2">
            <w:r w:rsidRPr="006233C9">
              <w:t>Tonga</w:t>
            </w:r>
            <w:r w:rsidR="00BB58ED" w:rsidRPr="006233C9">
              <w:t xml:space="preserve"> HLP </w:t>
            </w:r>
            <w:r w:rsidRPr="006233C9">
              <w:t>Profile</w:t>
            </w:r>
            <w:r w:rsidR="00BB58ED" w:rsidRPr="006233C9">
              <w:t xml:space="preserve"> </w:t>
            </w:r>
          </w:p>
        </w:tc>
      </w:tr>
      <w:tr w:rsidR="00BB58ED" w:rsidRPr="00436BEE" w:rsidTr="00277330">
        <w:trPr>
          <w:trHeight w:val="20"/>
        </w:trPr>
        <w:tc>
          <w:tcPr>
            <w:tcW w:w="856" w:type="pct"/>
          </w:tcPr>
          <w:p w:rsidR="00BB58ED" w:rsidRPr="006233C9" w:rsidRDefault="00BB58ED" w:rsidP="00277330">
            <w:pPr>
              <w:rPr>
                <w:b/>
              </w:rPr>
            </w:pPr>
            <w:r w:rsidRPr="006233C9">
              <w:rPr>
                <w:b/>
              </w:rPr>
              <w:t>Description</w:t>
            </w:r>
          </w:p>
        </w:tc>
        <w:tc>
          <w:tcPr>
            <w:tcW w:w="4144" w:type="pct"/>
            <w:gridSpan w:val="3"/>
          </w:tcPr>
          <w:p w:rsidR="00BB58ED" w:rsidRPr="006233C9" w:rsidRDefault="00BB58ED" w:rsidP="00277330">
            <w:r w:rsidRPr="006233C9">
              <w:t xml:space="preserve">Fact Sheet and </w:t>
            </w:r>
            <w:r w:rsidR="00C156B2" w:rsidRPr="006233C9">
              <w:t xml:space="preserve">Research </w:t>
            </w:r>
            <w:r w:rsidRPr="006233C9">
              <w:t>Memo</w:t>
            </w:r>
          </w:p>
        </w:tc>
      </w:tr>
      <w:tr w:rsidR="00BB58ED" w:rsidRPr="00436BEE" w:rsidTr="00277330">
        <w:trPr>
          <w:trHeight w:val="20"/>
        </w:trPr>
        <w:tc>
          <w:tcPr>
            <w:tcW w:w="856" w:type="pct"/>
          </w:tcPr>
          <w:p w:rsidR="00BB58ED" w:rsidRPr="006233C9" w:rsidRDefault="00BB58ED" w:rsidP="00277330">
            <w:pPr>
              <w:rPr>
                <w:b/>
              </w:rPr>
            </w:pPr>
            <w:r w:rsidRPr="006233C9">
              <w:rPr>
                <w:b/>
              </w:rPr>
              <w:t>Created By</w:t>
            </w:r>
          </w:p>
        </w:tc>
        <w:tc>
          <w:tcPr>
            <w:tcW w:w="4144" w:type="pct"/>
            <w:gridSpan w:val="3"/>
          </w:tcPr>
          <w:p w:rsidR="00BB58ED" w:rsidRPr="006233C9" w:rsidRDefault="00BB58ED" w:rsidP="00277330">
            <w:proofErr w:type="spellStart"/>
            <w:r w:rsidRPr="006233C9">
              <w:t>Allens</w:t>
            </w:r>
            <w:proofErr w:type="spellEnd"/>
            <w:r w:rsidRPr="006233C9">
              <w:t xml:space="preserve"> Lawyers, Australian Red Cross, IFRC</w:t>
            </w:r>
          </w:p>
        </w:tc>
      </w:tr>
      <w:tr w:rsidR="00BB58ED" w:rsidRPr="00436BEE" w:rsidTr="00277330">
        <w:trPr>
          <w:trHeight w:val="20"/>
        </w:trPr>
        <w:tc>
          <w:tcPr>
            <w:tcW w:w="856" w:type="pct"/>
          </w:tcPr>
          <w:p w:rsidR="00BB58ED" w:rsidRPr="006233C9" w:rsidRDefault="00BB58ED" w:rsidP="00277330">
            <w:pPr>
              <w:rPr>
                <w:b/>
              </w:rPr>
            </w:pPr>
            <w:r w:rsidRPr="006233C9">
              <w:rPr>
                <w:b/>
              </w:rPr>
              <w:t>Date Created</w:t>
            </w:r>
          </w:p>
        </w:tc>
        <w:tc>
          <w:tcPr>
            <w:tcW w:w="4144" w:type="pct"/>
            <w:gridSpan w:val="3"/>
          </w:tcPr>
          <w:p w:rsidR="00BB58ED" w:rsidRPr="006233C9" w:rsidRDefault="00BB58ED" w:rsidP="00277330">
            <w:r w:rsidRPr="006233C9">
              <w:t>May 2018</w:t>
            </w:r>
          </w:p>
        </w:tc>
      </w:tr>
      <w:tr w:rsidR="00BB58ED" w:rsidRPr="00436BEE" w:rsidTr="00277330">
        <w:trPr>
          <w:trHeight w:val="20"/>
        </w:trPr>
        <w:tc>
          <w:tcPr>
            <w:tcW w:w="856" w:type="pct"/>
          </w:tcPr>
          <w:p w:rsidR="00BB58ED" w:rsidRPr="006233C9" w:rsidRDefault="00BB58ED" w:rsidP="00277330">
            <w:pPr>
              <w:rPr>
                <w:b/>
              </w:rPr>
            </w:pPr>
            <w:r w:rsidRPr="006233C9">
              <w:rPr>
                <w:b/>
              </w:rPr>
              <w:t>Maintained by</w:t>
            </w:r>
          </w:p>
        </w:tc>
        <w:tc>
          <w:tcPr>
            <w:tcW w:w="4144" w:type="pct"/>
            <w:gridSpan w:val="3"/>
          </w:tcPr>
          <w:p w:rsidR="00BB58ED" w:rsidRPr="006233C9" w:rsidRDefault="00BB58ED" w:rsidP="00277330">
            <w:r w:rsidRPr="006233C9">
              <w:t xml:space="preserve">Leeanne Marshall </w:t>
            </w:r>
            <w:hyperlink r:id="rId9" w:history="1">
              <w:r w:rsidRPr="006233C9">
                <w:rPr>
                  <w:rStyle w:val="Hyperlink"/>
                </w:rPr>
                <w:t>lemarshall@redcross.org.au</w:t>
              </w:r>
            </w:hyperlink>
            <w:r w:rsidRPr="006233C9">
              <w:t xml:space="preserve">   </w:t>
            </w:r>
          </w:p>
        </w:tc>
      </w:tr>
      <w:tr w:rsidR="00BB58ED" w:rsidRPr="00436BEE" w:rsidTr="00277330">
        <w:trPr>
          <w:trHeight w:val="20"/>
        </w:trPr>
        <w:tc>
          <w:tcPr>
            <w:tcW w:w="856" w:type="pct"/>
          </w:tcPr>
          <w:p w:rsidR="00BB58ED" w:rsidRPr="006233C9" w:rsidRDefault="00BB58ED" w:rsidP="00277330">
            <w:pPr>
              <w:rPr>
                <w:b/>
              </w:rPr>
            </w:pPr>
            <w:r w:rsidRPr="006233C9">
              <w:rPr>
                <w:b/>
              </w:rPr>
              <w:t>Date</w:t>
            </w:r>
          </w:p>
        </w:tc>
        <w:tc>
          <w:tcPr>
            <w:tcW w:w="1370" w:type="pct"/>
          </w:tcPr>
          <w:p w:rsidR="00BB58ED" w:rsidRPr="006233C9" w:rsidRDefault="00BB58ED" w:rsidP="00277330">
            <w:pPr>
              <w:rPr>
                <w:b/>
              </w:rPr>
            </w:pPr>
            <w:r w:rsidRPr="006233C9">
              <w:rPr>
                <w:b/>
              </w:rPr>
              <w:t>Submitted by</w:t>
            </w:r>
          </w:p>
          <w:p w:rsidR="00BB58ED" w:rsidRPr="006233C9" w:rsidRDefault="00BB58ED" w:rsidP="00277330">
            <w:r w:rsidRPr="006233C9">
              <w:t>(name, organisation, email)</w:t>
            </w:r>
          </w:p>
        </w:tc>
        <w:tc>
          <w:tcPr>
            <w:tcW w:w="2262" w:type="pct"/>
          </w:tcPr>
          <w:p w:rsidR="00BB58ED" w:rsidRPr="006233C9" w:rsidRDefault="00BB58ED" w:rsidP="00277330">
            <w:pPr>
              <w:rPr>
                <w:b/>
              </w:rPr>
            </w:pPr>
            <w:r w:rsidRPr="006233C9">
              <w:rPr>
                <w:b/>
              </w:rPr>
              <w:t>Suggested amendments</w:t>
            </w:r>
          </w:p>
          <w:p w:rsidR="00BB58ED" w:rsidRPr="006233C9" w:rsidRDefault="00BB58ED" w:rsidP="00277330">
            <w:r w:rsidRPr="006233C9">
              <w:t>(please indicate section, paragraph, page as needed)</w:t>
            </w:r>
          </w:p>
        </w:tc>
        <w:tc>
          <w:tcPr>
            <w:tcW w:w="512" w:type="pct"/>
          </w:tcPr>
          <w:p w:rsidR="00BB58ED" w:rsidRPr="006233C9" w:rsidRDefault="00BB58ED" w:rsidP="00277330">
            <w:pPr>
              <w:rPr>
                <w:b/>
              </w:rPr>
            </w:pPr>
            <w:r w:rsidRPr="006233C9">
              <w:rPr>
                <w:b/>
              </w:rPr>
              <w:t>Status</w:t>
            </w:r>
          </w:p>
        </w:tc>
      </w:tr>
      <w:tr w:rsidR="00BB58ED" w:rsidRPr="00436BEE" w:rsidTr="00277330">
        <w:trPr>
          <w:trHeight w:val="20"/>
        </w:trPr>
        <w:tc>
          <w:tcPr>
            <w:tcW w:w="856" w:type="pct"/>
          </w:tcPr>
          <w:p w:rsidR="00BB58ED" w:rsidRPr="00C13A23" w:rsidRDefault="00BB58ED" w:rsidP="00277330"/>
        </w:tc>
        <w:tc>
          <w:tcPr>
            <w:tcW w:w="1370" w:type="pct"/>
          </w:tcPr>
          <w:p w:rsidR="00BB58ED" w:rsidRPr="00F7163A" w:rsidRDefault="00BB58ED" w:rsidP="00277330"/>
        </w:tc>
        <w:tc>
          <w:tcPr>
            <w:tcW w:w="2262" w:type="pct"/>
          </w:tcPr>
          <w:p w:rsidR="00BB58ED" w:rsidRPr="00F7163A" w:rsidRDefault="00BB58ED" w:rsidP="00277330"/>
        </w:tc>
        <w:tc>
          <w:tcPr>
            <w:tcW w:w="512" w:type="pct"/>
          </w:tcPr>
          <w:p w:rsidR="00BB58ED" w:rsidRPr="00C13A23" w:rsidRDefault="00BB58ED" w:rsidP="00277330"/>
        </w:tc>
      </w:tr>
      <w:tr w:rsidR="00BB58ED" w:rsidRPr="00436BEE" w:rsidTr="00277330">
        <w:trPr>
          <w:trHeight w:val="20"/>
        </w:trPr>
        <w:tc>
          <w:tcPr>
            <w:tcW w:w="856" w:type="pct"/>
          </w:tcPr>
          <w:p w:rsidR="00BB58ED" w:rsidRPr="00436BEE" w:rsidRDefault="00BB58ED" w:rsidP="00277330"/>
        </w:tc>
        <w:tc>
          <w:tcPr>
            <w:tcW w:w="1370" w:type="pct"/>
          </w:tcPr>
          <w:p w:rsidR="00BB58ED" w:rsidRPr="00436BEE" w:rsidRDefault="00BB58ED" w:rsidP="00277330"/>
        </w:tc>
        <w:tc>
          <w:tcPr>
            <w:tcW w:w="2262" w:type="pct"/>
          </w:tcPr>
          <w:p w:rsidR="00BB58ED" w:rsidRPr="00436BEE" w:rsidRDefault="00BB58ED" w:rsidP="00277330"/>
        </w:tc>
        <w:tc>
          <w:tcPr>
            <w:tcW w:w="512" w:type="pct"/>
          </w:tcPr>
          <w:p w:rsidR="00BB58ED" w:rsidRPr="00436BEE" w:rsidRDefault="00BB58ED" w:rsidP="00277330"/>
        </w:tc>
      </w:tr>
      <w:tr w:rsidR="00BB58ED" w:rsidRPr="00436BEE" w:rsidTr="00277330">
        <w:trPr>
          <w:trHeight w:val="20"/>
        </w:trPr>
        <w:tc>
          <w:tcPr>
            <w:tcW w:w="856" w:type="pct"/>
          </w:tcPr>
          <w:p w:rsidR="00BB58ED" w:rsidRPr="00436BEE" w:rsidRDefault="00BB58ED" w:rsidP="00277330"/>
        </w:tc>
        <w:tc>
          <w:tcPr>
            <w:tcW w:w="1370" w:type="pct"/>
          </w:tcPr>
          <w:p w:rsidR="00BB58ED" w:rsidRPr="00436BEE" w:rsidRDefault="00BB58ED" w:rsidP="00277330"/>
        </w:tc>
        <w:tc>
          <w:tcPr>
            <w:tcW w:w="2262" w:type="pct"/>
          </w:tcPr>
          <w:p w:rsidR="00BB58ED" w:rsidRPr="00436BEE" w:rsidRDefault="00BB58ED" w:rsidP="00277330"/>
        </w:tc>
        <w:tc>
          <w:tcPr>
            <w:tcW w:w="512" w:type="pct"/>
          </w:tcPr>
          <w:p w:rsidR="00BB58ED" w:rsidRPr="00436BEE" w:rsidRDefault="00BB58ED" w:rsidP="00277330"/>
        </w:tc>
      </w:tr>
      <w:tr w:rsidR="00BB58ED" w:rsidRPr="00436BEE" w:rsidTr="00277330">
        <w:trPr>
          <w:trHeight w:val="20"/>
        </w:trPr>
        <w:tc>
          <w:tcPr>
            <w:tcW w:w="856" w:type="pct"/>
          </w:tcPr>
          <w:p w:rsidR="00BB58ED" w:rsidRPr="00436BEE" w:rsidRDefault="00BB58ED" w:rsidP="00277330"/>
        </w:tc>
        <w:tc>
          <w:tcPr>
            <w:tcW w:w="1370" w:type="pct"/>
          </w:tcPr>
          <w:p w:rsidR="00BB58ED" w:rsidRPr="00436BEE" w:rsidRDefault="00BB58ED" w:rsidP="00277330"/>
        </w:tc>
        <w:tc>
          <w:tcPr>
            <w:tcW w:w="2262" w:type="pct"/>
          </w:tcPr>
          <w:p w:rsidR="00BB58ED" w:rsidRPr="00436BEE" w:rsidRDefault="00BB58ED" w:rsidP="00277330"/>
        </w:tc>
        <w:tc>
          <w:tcPr>
            <w:tcW w:w="512" w:type="pct"/>
          </w:tcPr>
          <w:p w:rsidR="00BB58ED" w:rsidRPr="00436BEE" w:rsidRDefault="00BB58ED" w:rsidP="00277330"/>
        </w:tc>
      </w:tr>
      <w:tr w:rsidR="00BB58ED" w:rsidRPr="00436BEE" w:rsidTr="00277330">
        <w:trPr>
          <w:trHeight w:val="20"/>
        </w:trPr>
        <w:tc>
          <w:tcPr>
            <w:tcW w:w="856" w:type="pct"/>
          </w:tcPr>
          <w:p w:rsidR="00BB58ED" w:rsidRPr="00436BEE" w:rsidRDefault="00BB58ED" w:rsidP="00277330"/>
        </w:tc>
        <w:tc>
          <w:tcPr>
            <w:tcW w:w="1370" w:type="pct"/>
          </w:tcPr>
          <w:p w:rsidR="00BB58ED" w:rsidRPr="00436BEE" w:rsidRDefault="00BB58ED" w:rsidP="00277330"/>
        </w:tc>
        <w:tc>
          <w:tcPr>
            <w:tcW w:w="2262" w:type="pct"/>
          </w:tcPr>
          <w:p w:rsidR="00BB58ED" w:rsidRPr="00436BEE" w:rsidRDefault="00BB58ED" w:rsidP="00277330"/>
        </w:tc>
        <w:tc>
          <w:tcPr>
            <w:tcW w:w="512" w:type="pct"/>
          </w:tcPr>
          <w:p w:rsidR="00BB58ED" w:rsidRPr="00436BEE" w:rsidRDefault="00BB58ED" w:rsidP="00277330"/>
        </w:tc>
      </w:tr>
      <w:tr w:rsidR="00BB58ED" w:rsidRPr="00436BEE" w:rsidTr="00277330">
        <w:trPr>
          <w:trHeight w:val="20"/>
        </w:trPr>
        <w:tc>
          <w:tcPr>
            <w:tcW w:w="856" w:type="pct"/>
          </w:tcPr>
          <w:p w:rsidR="00BB58ED" w:rsidRPr="00436BEE" w:rsidRDefault="00BB58ED" w:rsidP="00277330"/>
        </w:tc>
        <w:tc>
          <w:tcPr>
            <w:tcW w:w="1370" w:type="pct"/>
          </w:tcPr>
          <w:p w:rsidR="00BB58ED" w:rsidRPr="00436BEE" w:rsidRDefault="00BB58ED" w:rsidP="00277330"/>
        </w:tc>
        <w:tc>
          <w:tcPr>
            <w:tcW w:w="2262" w:type="pct"/>
          </w:tcPr>
          <w:p w:rsidR="00BB58ED" w:rsidRPr="00436BEE" w:rsidRDefault="00BB58ED" w:rsidP="00277330"/>
        </w:tc>
        <w:tc>
          <w:tcPr>
            <w:tcW w:w="512" w:type="pct"/>
          </w:tcPr>
          <w:p w:rsidR="00BB58ED" w:rsidRPr="00436BEE" w:rsidRDefault="00BB58ED" w:rsidP="00277330"/>
        </w:tc>
      </w:tr>
      <w:tr w:rsidR="00BB58ED" w:rsidRPr="00436BEE" w:rsidTr="00277330">
        <w:trPr>
          <w:trHeight w:val="20"/>
        </w:trPr>
        <w:tc>
          <w:tcPr>
            <w:tcW w:w="856" w:type="pct"/>
          </w:tcPr>
          <w:p w:rsidR="00BB58ED" w:rsidRPr="00436BEE" w:rsidRDefault="00BB58ED" w:rsidP="00277330"/>
        </w:tc>
        <w:tc>
          <w:tcPr>
            <w:tcW w:w="1370" w:type="pct"/>
          </w:tcPr>
          <w:p w:rsidR="00BB58ED" w:rsidRPr="00436BEE" w:rsidRDefault="00BB58ED" w:rsidP="00277330"/>
        </w:tc>
        <w:tc>
          <w:tcPr>
            <w:tcW w:w="2262" w:type="pct"/>
          </w:tcPr>
          <w:p w:rsidR="00BB58ED" w:rsidRPr="00436BEE" w:rsidRDefault="00BB58ED" w:rsidP="00277330"/>
        </w:tc>
        <w:tc>
          <w:tcPr>
            <w:tcW w:w="512" w:type="pct"/>
          </w:tcPr>
          <w:p w:rsidR="00BB58ED" w:rsidRPr="00436BEE" w:rsidRDefault="00BB58ED" w:rsidP="00277330"/>
        </w:tc>
      </w:tr>
    </w:tbl>
    <w:p w:rsidR="00BB58ED" w:rsidRDefault="00BB58ED" w:rsidP="00BB58ED">
      <w:pPr>
        <w:pStyle w:val="GeneralHeading1"/>
        <w:rPr>
          <w:sz w:val="24"/>
        </w:rPr>
      </w:pPr>
    </w:p>
    <w:p w:rsidR="001636E1" w:rsidRPr="00D76FED" w:rsidRDefault="001636E1" w:rsidP="001636E1">
      <w:pPr>
        <w:pStyle w:val="GeneralHeading1"/>
        <w:jc w:val="center"/>
        <w:rPr>
          <w:sz w:val="24"/>
        </w:rPr>
      </w:pPr>
      <w:r w:rsidRPr="00D76FED">
        <w:rPr>
          <w:sz w:val="24"/>
        </w:rPr>
        <w:t>H</w:t>
      </w:r>
      <w:r w:rsidR="00CB348E" w:rsidRPr="00D76FED">
        <w:rPr>
          <w:sz w:val="24"/>
        </w:rPr>
        <w:t>ousing, Land and Property Law</w:t>
      </w:r>
      <w:r w:rsidRPr="00D76FED">
        <w:rPr>
          <w:sz w:val="24"/>
        </w:rPr>
        <w:t xml:space="preserve"> in Tonga</w:t>
      </w:r>
    </w:p>
    <w:p w:rsidR="005F4174" w:rsidRPr="003565E4" w:rsidRDefault="003565E4" w:rsidP="003565E4">
      <w:pPr>
        <w:rPr>
          <w:b/>
          <w:sz w:val="22"/>
          <w:szCs w:val="22"/>
        </w:rPr>
      </w:pPr>
      <w:bookmarkStart w:id="2" w:name="_Toc512952851"/>
      <w:bookmarkStart w:id="3" w:name="_Toc512953125"/>
      <w:r>
        <w:rPr>
          <w:b/>
          <w:sz w:val="22"/>
          <w:szCs w:val="22"/>
        </w:rPr>
        <w:t>1</w:t>
      </w:r>
      <w:r>
        <w:rPr>
          <w:b/>
          <w:sz w:val="22"/>
          <w:szCs w:val="22"/>
        </w:rPr>
        <w:tab/>
      </w:r>
      <w:r w:rsidR="005F4174" w:rsidRPr="003565E4">
        <w:rPr>
          <w:b/>
          <w:sz w:val="22"/>
          <w:szCs w:val="22"/>
        </w:rPr>
        <w:t>Key laws and actors</w:t>
      </w:r>
      <w:bookmarkEnd w:id="2"/>
      <w:bookmarkEnd w:id="3"/>
    </w:p>
    <w:tbl>
      <w:tblPr>
        <w:tblStyle w:val="TableGrid"/>
        <w:tblW w:w="0" w:type="auto"/>
        <w:tblInd w:w="108" w:type="dxa"/>
        <w:tblLook w:val="04A0" w:firstRow="1" w:lastRow="0" w:firstColumn="1" w:lastColumn="0" w:noHBand="0" w:noVBand="1"/>
      </w:tblPr>
      <w:tblGrid>
        <w:gridCol w:w="1560"/>
        <w:gridCol w:w="7904"/>
      </w:tblGrid>
      <w:tr w:rsidR="005F4174" w:rsidRPr="007A1DA0" w:rsidTr="008168BF">
        <w:tc>
          <w:tcPr>
            <w:tcW w:w="1560" w:type="dxa"/>
            <w:shd w:val="clear" w:color="auto" w:fill="auto"/>
          </w:tcPr>
          <w:p w:rsidR="005F4174" w:rsidRPr="003565E4" w:rsidRDefault="00E90975" w:rsidP="003565E4">
            <w:hyperlink w:anchor="Tenure_typologies" w:history="1">
              <w:bookmarkStart w:id="4" w:name="_Toc512952852"/>
              <w:bookmarkStart w:id="5" w:name="_Toc512953126"/>
              <w:r w:rsidR="005F4174" w:rsidRPr="003565E4">
                <w:rPr>
                  <w:rStyle w:val="Hyperlink"/>
                </w:rPr>
                <w:t>Laws</w:t>
              </w:r>
              <w:bookmarkEnd w:id="4"/>
              <w:bookmarkEnd w:id="5"/>
            </w:hyperlink>
          </w:p>
        </w:tc>
        <w:tc>
          <w:tcPr>
            <w:tcW w:w="7904" w:type="dxa"/>
            <w:shd w:val="clear" w:color="auto" w:fill="auto"/>
          </w:tcPr>
          <w:p w:rsidR="005F4174" w:rsidRPr="00A921DA" w:rsidRDefault="005F4174" w:rsidP="0048308F">
            <w:r w:rsidRPr="00A921DA">
              <w:t>The main laws governing</w:t>
            </w:r>
            <w:r w:rsidR="0048308F">
              <w:t xml:space="preserve"> housing, land, building and planning</w:t>
            </w:r>
            <w:r>
              <w:t xml:space="preserve"> are the </w:t>
            </w:r>
            <w:hyperlink r:id="rId10" w:history="1">
              <w:r w:rsidRPr="0048308F">
                <w:rPr>
                  <w:rStyle w:val="Hyperlink"/>
                  <w:i/>
                </w:rPr>
                <w:t>Constitution</w:t>
              </w:r>
            </w:hyperlink>
            <w:r>
              <w:t xml:space="preserve">, the </w:t>
            </w:r>
            <w:hyperlink r:id="rId11" w:history="1">
              <w:r w:rsidRPr="0048308F">
                <w:rPr>
                  <w:rStyle w:val="Hyperlink"/>
                  <w:i/>
                </w:rPr>
                <w:t>Land Act 1927</w:t>
              </w:r>
            </w:hyperlink>
            <w:r>
              <w:t xml:space="preserve">, the </w:t>
            </w:r>
            <w:hyperlink r:id="rId12" w:history="1">
              <w:r w:rsidRPr="0048308F">
                <w:rPr>
                  <w:rStyle w:val="Hyperlink"/>
                  <w:i/>
                </w:rPr>
                <w:t>National Spatial Planning and Management Act 2012</w:t>
              </w:r>
            </w:hyperlink>
            <w:r>
              <w:t xml:space="preserve"> and the </w:t>
            </w:r>
            <w:hyperlink r:id="rId13" w:history="1">
              <w:r w:rsidRPr="0048308F">
                <w:rPr>
                  <w:rStyle w:val="Hyperlink"/>
                  <w:bCs/>
                  <w:i/>
                </w:rPr>
                <w:t>Building Control and Standards Act 2002</w:t>
              </w:r>
            </w:hyperlink>
            <w:r>
              <w:rPr>
                <w:bCs/>
              </w:rPr>
              <w:t>.</w:t>
            </w:r>
          </w:p>
        </w:tc>
      </w:tr>
      <w:bookmarkStart w:id="6" w:name="_Toc512952853"/>
      <w:bookmarkStart w:id="7" w:name="_Toc512953127"/>
      <w:tr w:rsidR="005F4174" w:rsidRPr="007A1DA0" w:rsidTr="008168BF">
        <w:tc>
          <w:tcPr>
            <w:tcW w:w="1560" w:type="dxa"/>
            <w:shd w:val="clear" w:color="auto" w:fill="auto"/>
          </w:tcPr>
          <w:p w:rsidR="005F4174" w:rsidRPr="003565E4" w:rsidRDefault="0045070A" w:rsidP="003565E4">
            <w:r w:rsidRPr="003565E4">
              <w:fldChar w:fldCharType="begin"/>
            </w:r>
            <w:r w:rsidRPr="003565E4">
              <w:instrText xml:space="preserve"> HYPERLINK  \l "Key_Govt_Actors" </w:instrText>
            </w:r>
            <w:r w:rsidRPr="003565E4">
              <w:fldChar w:fldCharType="separate"/>
            </w:r>
            <w:r w:rsidR="005F4174" w:rsidRPr="003565E4">
              <w:rPr>
                <w:rStyle w:val="Hyperlink"/>
              </w:rPr>
              <w:t>Key government actors</w:t>
            </w:r>
            <w:bookmarkEnd w:id="6"/>
            <w:bookmarkEnd w:id="7"/>
            <w:r w:rsidRPr="003565E4">
              <w:fldChar w:fldCharType="end"/>
            </w:r>
          </w:p>
        </w:tc>
        <w:tc>
          <w:tcPr>
            <w:tcW w:w="7904" w:type="dxa"/>
            <w:shd w:val="clear" w:color="auto" w:fill="auto"/>
          </w:tcPr>
          <w:p w:rsidR="005F4174" w:rsidRDefault="005F4174" w:rsidP="00E273DA">
            <w:r>
              <w:t>T</w:t>
            </w:r>
            <w:r w:rsidRPr="00A921DA">
              <w:t>he Ministry of Lands and Natural Resources</w:t>
            </w:r>
            <w:r w:rsidR="00570A76">
              <w:t xml:space="preserve"> is responsible</w:t>
            </w:r>
            <w:r w:rsidR="00435C34">
              <w:t xml:space="preserve"> for</w:t>
            </w:r>
            <w:r w:rsidR="00570A76">
              <w:t xml:space="preserve"> </w:t>
            </w:r>
            <w:r>
              <w:t xml:space="preserve">land administration. </w:t>
            </w:r>
            <w:r w:rsidR="00D76FED">
              <w:rPr>
                <w:color w:val="000000" w:themeColor="text1"/>
              </w:rPr>
              <w:t xml:space="preserve">The Ministry houses the </w:t>
            </w:r>
            <w:r w:rsidR="00D76FED" w:rsidRPr="00C63AAA">
              <w:rPr>
                <w:color w:val="000000" w:themeColor="text1"/>
              </w:rPr>
              <w:t xml:space="preserve">National Spatial Planning </w:t>
            </w:r>
            <w:r w:rsidR="00D76FED">
              <w:rPr>
                <w:color w:val="000000" w:themeColor="text1"/>
              </w:rPr>
              <w:t>Authority, which is responsible for administering planning law.</w:t>
            </w:r>
          </w:p>
          <w:p w:rsidR="005F4174" w:rsidRPr="007A1DA0" w:rsidRDefault="005F4174" w:rsidP="00556360">
            <w:r w:rsidRPr="00A921DA">
              <w:t>In the event of a disaster, the National Emergency Operations Committee (NEOC) is responsible for coordinating the response</w:t>
            </w:r>
            <w:r>
              <w:t xml:space="preserve">. </w:t>
            </w:r>
            <w:r w:rsidRPr="00A921DA">
              <w:t>The NEOC is supported by District Emergency Management Committees (DEMC) and Village Emergency Committees (VEC)</w:t>
            </w:r>
            <w:r>
              <w:t>.</w:t>
            </w:r>
            <w:r w:rsidR="00556360">
              <w:t xml:space="preserve"> </w:t>
            </w:r>
            <w:r w:rsidRPr="00A921DA">
              <w:t xml:space="preserve">There is a DEMC for each of the five districts: </w:t>
            </w:r>
            <w:proofErr w:type="spellStart"/>
            <w:r w:rsidRPr="00A921DA">
              <w:t>Ha’apai</w:t>
            </w:r>
            <w:proofErr w:type="spellEnd"/>
            <w:r w:rsidRPr="00A921DA">
              <w:t xml:space="preserve">, </w:t>
            </w:r>
            <w:proofErr w:type="spellStart"/>
            <w:r w:rsidRPr="00A921DA">
              <w:t>Vava’u</w:t>
            </w:r>
            <w:proofErr w:type="spellEnd"/>
            <w:r w:rsidRPr="00A921DA">
              <w:t xml:space="preserve">, </w:t>
            </w:r>
            <w:proofErr w:type="spellStart"/>
            <w:r w:rsidRPr="00A921DA">
              <w:t>Niuatoputapu</w:t>
            </w:r>
            <w:proofErr w:type="spellEnd"/>
            <w:r w:rsidRPr="00A921DA">
              <w:t xml:space="preserve">, </w:t>
            </w:r>
            <w:proofErr w:type="spellStart"/>
            <w:r w:rsidRPr="00A921DA">
              <w:t>Niuafo’ou</w:t>
            </w:r>
            <w:proofErr w:type="spellEnd"/>
            <w:r w:rsidRPr="00A921DA">
              <w:t xml:space="preserve"> and ‘</w:t>
            </w:r>
            <w:proofErr w:type="spellStart"/>
            <w:r w:rsidRPr="00A921DA">
              <w:t>Eua</w:t>
            </w:r>
            <w:proofErr w:type="spellEnd"/>
            <w:r>
              <w:t>.</w:t>
            </w:r>
          </w:p>
        </w:tc>
      </w:tr>
      <w:bookmarkStart w:id="8" w:name="_Toc512952854"/>
      <w:bookmarkStart w:id="9" w:name="_Toc512953128"/>
      <w:tr w:rsidR="005F4174" w:rsidRPr="007A1DA0" w:rsidTr="00D300EC">
        <w:trPr>
          <w:trHeight w:val="53"/>
        </w:trPr>
        <w:tc>
          <w:tcPr>
            <w:tcW w:w="1560" w:type="dxa"/>
            <w:shd w:val="clear" w:color="auto" w:fill="auto"/>
          </w:tcPr>
          <w:p w:rsidR="005F4174" w:rsidRPr="003565E4" w:rsidRDefault="007D264D" w:rsidP="003565E4">
            <w:r w:rsidRPr="003565E4">
              <w:fldChar w:fldCharType="begin"/>
            </w:r>
            <w:r w:rsidRPr="003565E4">
              <w:instrText xml:space="preserve"> HYPERLINK  \l "Shelter_cluster" </w:instrText>
            </w:r>
            <w:r w:rsidRPr="003565E4">
              <w:fldChar w:fldCharType="separate"/>
            </w:r>
            <w:r w:rsidR="005F4174" w:rsidRPr="003565E4">
              <w:rPr>
                <w:rStyle w:val="Hyperlink"/>
              </w:rPr>
              <w:t>Shelter cluster</w:t>
            </w:r>
            <w:bookmarkEnd w:id="8"/>
            <w:bookmarkEnd w:id="9"/>
            <w:r w:rsidRPr="003565E4">
              <w:fldChar w:fldCharType="end"/>
            </w:r>
          </w:p>
        </w:tc>
        <w:tc>
          <w:tcPr>
            <w:tcW w:w="7904" w:type="dxa"/>
            <w:shd w:val="clear" w:color="auto" w:fill="auto"/>
          </w:tcPr>
          <w:p w:rsidR="005F4174" w:rsidRPr="001D69F6" w:rsidRDefault="001D69F6" w:rsidP="001D69F6">
            <w:pPr>
              <w:rPr>
                <w:rFonts w:cs="Arial"/>
                <w:color w:val="000000"/>
              </w:rPr>
            </w:pPr>
            <w:r>
              <w:rPr>
                <w:rFonts w:cs="Arial"/>
                <w:color w:val="000000"/>
              </w:rPr>
              <w:t>The contact details for key Shelter Cluster personnel are provided i</w:t>
            </w:r>
            <w:r w:rsidRPr="005A414A">
              <w:rPr>
                <w:rFonts w:cs="Arial"/>
              </w:rPr>
              <w:t xml:space="preserve">n </w:t>
            </w:r>
            <w:hyperlink w:anchor="Section5" w:history="1">
              <w:r w:rsidRPr="005A414A">
                <w:rPr>
                  <w:rStyle w:val="Hyperlink"/>
                  <w:rFonts w:cs="Arial"/>
                  <w:color w:val="auto"/>
                  <w:u w:val="none"/>
                </w:rPr>
                <w:t>Section 5 below</w:t>
              </w:r>
            </w:hyperlink>
            <w:r w:rsidRPr="005A414A">
              <w:rPr>
                <w:rFonts w:cs="Arial"/>
              </w:rPr>
              <w:t>.</w:t>
            </w:r>
          </w:p>
        </w:tc>
      </w:tr>
    </w:tbl>
    <w:p w:rsidR="005F4174" w:rsidRPr="003565E4" w:rsidRDefault="003565E4" w:rsidP="003565E4">
      <w:pPr>
        <w:rPr>
          <w:b/>
          <w:sz w:val="22"/>
          <w:szCs w:val="22"/>
        </w:rPr>
      </w:pPr>
      <w:bookmarkStart w:id="10" w:name="_Toc512952855"/>
      <w:bookmarkStart w:id="11" w:name="_Toc512953129"/>
      <w:bookmarkStart w:id="12" w:name="Common_types_of_tenure"/>
      <w:r>
        <w:rPr>
          <w:b/>
          <w:sz w:val="22"/>
          <w:szCs w:val="22"/>
        </w:rPr>
        <w:t>2</w:t>
      </w:r>
      <w:r>
        <w:rPr>
          <w:b/>
          <w:sz w:val="22"/>
          <w:szCs w:val="22"/>
        </w:rPr>
        <w:tab/>
      </w:r>
      <w:hyperlink w:anchor="Common_types_of_tenure" w:history="1">
        <w:r w:rsidR="001636E1" w:rsidRPr="003565E4">
          <w:rPr>
            <w:rStyle w:val="Hyperlink"/>
            <w:b/>
            <w:color w:val="auto"/>
            <w:sz w:val="22"/>
            <w:szCs w:val="22"/>
            <w:u w:val="none"/>
          </w:rPr>
          <w:t>Common types of tenure</w:t>
        </w:r>
        <w:bookmarkEnd w:id="10"/>
        <w:bookmarkEnd w:id="11"/>
      </w:hyperlink>
    </w:p>
    <w:tbl>
      <w:tblPr>
        <w:tblStyle w:val="TableGrid1"/>
        <w:tblW w:w="0" w:type="auto"/>
        <w:tblInd w:w="108" w:type="dxa"/>
        <w:tblLook w:val="04A0" w:firstRow="1" w:lastRow="0" w:firstColumn="1" w:lastColumn="0" w:noHBand="0" w:noVBand="1"/>
      </w:tblPr>
      <w:tblGrid>
        <w:gridCol w:w="1328"/>
        <w:gridCol w:w="1372"/>
        <w:gridCol w:w="5097"/>
        <w:gridCol w:w="1667"/>
      </w:tblGrid>
      <w:tr w:rsidR="00D76FED" w:rsidRPr="00C55E40" w:rsidTr="008168BF">
        <w:tc>
          <w:tcPr>
            <w:tcW w:w="946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bookmarkEnd w:id="12"/>
          <w:p w:rsidR="00D76FED" w:rsidRPr="007A1DA0" w:rsidRDefault="00D76FED" w:rsidP="00087F71">
            <w:pPr>
              <w:spacing w:line="276" w:lineRule="auto"/>
              <w:rPr>
                <w:b/>
              </w:rPr>
            </w:pPr>
            <w:r>
              <w:t xml:space="preserve">Almost all types of land tenure in Tonga must be created or transferred through registration. Unlike many countries in the Pacific, Tonga does </w:t>
            </w:r>
            <w:r w:rsidRPr="00D37D0D">
              <w:rPr>
                <w:i/>
              </w:rPr>
              <w:t>not</w:t>
            </w:r>
            <w:r>
              <w:t xml:space="preserve"> have a dual system of customary ownership and registered ownership. The table below summarises the most c</w:t>
            </w:r>
            <w:r w:rsidR="00087F71">
              <w:t>ommon types of tenure in Tonga.</w:t>
            </w:r>
          </w:p>
        </w:tc>
      </w:tr>
      <w:tr w:rsidR="00E008D4" w:rsidRPr="00C55E40" w:rsidTr="00D300EC">
        <w:tc>
          <w:tcPr>
            <w:tcW w:w="1328" w:type="dxa"/>
            <w:tcBorders>
              <w:top w:val="single" w:sz="4" w:space="0" w:color="auto"/>
              <w:left w:val="single" w:sz="4" w:space="0" w:color="auto"/>
              <w:bottom w:val="single" w:sz="4" w:space="0" w:color="auto"/>
              <w:right w:val="single" w:sz="4" w:space="0" w:color="auto"/>
            </w:tcBorders>
            <w:shd w:val="clear" w:color="auto" w:fill="000000" w:themeFill="text1"/>
          </w:tcPr>
          <w:p w:rsidR="00E008D4" w:rsidRPr="007A1DA0" w:rsidRDefault="00E008D4" w:rsidP="00704738">
            <w:pPr>
              <w:spacing w:line="276" w:lineRule="auto"/>
              <w:rPr>
                <w:rFonts w:cs="Arial"/>
                <w:b/>
              </w:rPr>
            </w:pPr>
            <w:r w:rsidRPr="007A1DA0">
              <w:rPr>
                <w:rFonts w:cs="Arial"/>
                <w:b/>
              </w:rPr>
              <w:t>Tenure</w:t>
            </w:r>
          </w:p>
        </w:tc>
        <w:tc>
          <w:tcPr>
            <w:tcW w:w="1372" w:type="dxa"/>
            <w:tcBorders>
              <w:top w:val="single" w:sz="4" w:space="0" w:color="auto"/>
              <w:left w:val="single" w:sz="4" w:space="0" w:color="auto"/>
              <w:bottom w:val="single" w:sz="4" w:space="0" w:color="auto"/>
              <w:right w:val="single" w:sz="4" w:space="0" w:color="auto"/>
            </w:tcBorders>
            <w:shd w:val="clear" w:color="auto" w:fill="000000" w:themeFill="text1"/>
          </w:tcPr>
          <w:p w:rsidR="00E008D4" w:rsidRPr="007A1DA0" w:rsidRDefault="00E008D4" w:rsidP="00704738">
            <w:pPr>
              <w:spacing w:line="276" w:lineRule="auto"/>
              <w:rPr>
                <w:b/>
              </w:rPr>
            </w:pPr>
            <w:r w:rsidRPr="007A1DA0">
              <w:rPr>
                <w:b/>
              </w:rPr>
              <w:t>Commonly Registered?</w:t>
            </w:r>
          </w:p>
        </w:tc>
        <w:tc>
          <w:tcPr>
            <w:tcW w:w="5097" w:type="dxa"/>
            <w:tcBorders>
              <w:top w:val="single" w:sz="4" w:space="0" w:color="auto"/>
              <w:left w:val="single" w:sz="4" w:space="0" w:color="auto"/>
              <w:bottom w:val="single" w:sz="4" w:space="0" w:color="auto"/>
              <w:right w:val="single" w:sz="4" w:space="0" w:color="auto"/>
            </w:tcBorders>
            <w:shd w:val="clear" w:color="auto" w:fill="000000" w:themeFill="text1"/>
          </w:tcPr>
          <w:p w:rsidR="00E008D4" w:rsidRPr="007A1DA0" w:rsidRDefault="00E008D4" w:rsidP="00704738">
            <w:pPr>
              <w:spacing w:line="276" w:lineRule="auto"/>
              <w:rPr>
                <w:rFonts w:cs="Arial"/>
                <w:b/>
              </w:rPr>
            </w:pPr>
            <w:r w:rsidRPr="007A1DA0">
              <w:rPr>
                <w:b/>
              </w:rPr>
              <w:t>Key Features</w:t>
            </w:r>
          </w:p>
        </w:tc>
        <w:tc>
          <w:tcPr>
            <w:tcW w:w="1667" w:type="dxa"/>
            <w:tcBorders>
              <w:top w:val="single" w:sz="4" w:space="0" w:color="auto"/>
              <w:left w:val="single" w:sz="4" w:space="0" w:color="auto"/>
              <w:bottom w:val="single" w:sz="4" w:space="0" w:color="auto"/>
              <w:right w:val="single" w:sz="4" w:space="0" w:color="auto"/>
            </w:tcBorders>
            <w:shd w:val="clear" w:color="auto" w:fill="000000" w:themeFill="text1"/>
          </w:tcPr>
          <w:p w:rsidR="00E008D4" w:rsidRPr="007A1DA0" w:rsidRDefault="00E008D4" w:rsidP="00704738">
            <w:pPr>
              <w:spacing w:line="276" w:lineRule="auto"/>
              <w:rPr>
                <w:b/>
              </w:rPr>
            </w:pPr>
            <w:r w:rsidRPr="007A1DA0">
              <w:rPr>
                <w:b/>
              </w:rPr>
              <w:t>Title document</w:t>
            </w:r>
          </w:p>
        </w:tc>
      </w:tr>
      <w:bookmarkStart w:id="13" w:name="_Toc512952856"/>
      <w:bookmarkStart w:id="14" w:name="_Toc512953130"/>
      <w:tr w:rsidR="00E008D4" w:rsidRPr="00C55E40" w:rsidTr="00D300EC">
        <w:tc>
          <w:tcPr>
            <w:tcW w:w="1328" w:type="dxa"/>
            <w:tcBorders>
              <w:top w:val="single" w:sz="4" w:space="0" w:color="auto"/>
            </w:tcBorders>
            <w:shd w:val="clear" w:color="auto" w:fill="auto"/>
          </w:tcPr>
          <w:p w:rsidR="00E008D4" w:rsidRPr="003565E4" w:rsidRDefault="00A6507E" w:rsidP="003565E4">
            <w:r w:rsidRPr="003565E4">
              <w:fldChar w:fldCharType="begin"/>
            </w:r>
            <w:r w:rsidRPr="003565E4">
              <w:instrText xml:space="preserve"> HYPERLINK  \l "Crown_land" </w:instrText>
            </w:r>
            <w:r w:rsidRPr="003565E4">
              <w:fldChar w:fldCharType="separate"/>
            </w:r>
            <w:r w:rsidR="00E008D4" w:rsidRPr="003565E4">
              <w:rPr>
                <w:rStyle w:val="Hyperlink"/>
              </w:rPr>
              <w:t>Crown land</w:t>
            </w:r>
            <w:bookmarkEnd w:id="13"/>
            <w:bookmarkEnd w:id="14"/>
            <w:r w:rsidRPr="003565E4">
              <w:fldChar w:fldCharType="end"/>
            </w:r>
          </w:p>
        </w:tc>
        <w:tc>
          <w:tcPr>
            <w:tcW w:w="1372" w:type="dxa"/>
            <w:tcBorders>
              <w:top w:val="single" w:sz="4" w:space="0" w:color="auto"/>
            </w:tcBorders>
            <w:shd w:val="clear" w:color="auto" w:fill="auto"/>
          </w:tcPr>
          <w:p w:rsidR="00E008D4" w:rsidRPr="007A1DA0" w:rsidRDefault="001B2E78" w:rsidP="00704738">
            <w:pPr>
              <w:spacing w:line="276" w:lineRule="auto"/>
              <w:rPr>
                <w:rFonts w:cs="Arial"/>
              </w:rPr>
            </w:pPr>
            <w:r w:rsidRPr="007A1DA0">
              <w:rPr>
                <w:rFonts w:cs="Arial"/>
              </w:rPr>
              <w:t>n/a</w:t>
            </w:r>
          </w:p>
        </w:tc>
        <w:tc>
          <w:tcPr>
            <w:tcW w:w="5097" w:type="dxa"/>
            <w:tcBorders>
              <w:top w:val="single" w:sz="4" w:space="0" w:color="auto"/>
            </w:tcBorders>
            <w:shd w:val="clear" w:color="auto" w:fill="auto"/>
          </w:tcPr>
          <w:p w:rsidR="00E008D4" w:rsidRPr="007A1DA0" w:rsidRDefault="00E008D4" w:rsidP="00704738">
            <w:pPr>
              <w:spacing w:line="276" w:lineRule="auto"/>
              <w:rPr>
                <w:rFonts w:cs="Arial"/>
              </w:rPr>
            </w:pPr>
            <w:r w:rsidRPr="007A1DA0">
              <w:rPr>
                <w:rFonts w:cs="Arial"/>
              </w:rPr>
              <w:t>Land owned by the government.</w:t>
            </w:r>
          </w:p>
        </w:tc>
        <w:tc>
          <w:tcPr>
            <w:tcW w:w="1667" w:type="dxa"/>
            <w:tcBorders>
              <w:top w:val="single" w:sz="4" w:space="0" w:color="auto"/>
            </w:tcBorders>
            <w:shd w:val="clear" w:color="auto" w:fill="auto"/>
          </w:tcPr>
          <w:p w:rsidR="00E008D4" w:rsidRPr="007A1DA0" w:rsidRDefault="00CB348E" w:rsidP="00704738">
            <w:pPr>
              <w:spacing w:line="276" w:lineRule="auto"/>
              <w:rPr>
                <w:rFonts w:cs="Arial"/>
              </w:rPr>
            </w:pPr>
            <w:r w:rsidRPr="007A1DA0">
              <w:rPr>
                <w:rFonts w:cs="Arial"/>
              </w:rPr>
              <w:t>n/a</w:t>
            </w:r>
          </w:p>
        </w:tc>
      </w:tr>
      <w:bookmarkStart w:id="15" w:name="_Toc512952857"/>
      <w:bookmarkStart w:id="16" w:name="_Toc512953131"/>
      <w:tr w:rsidR="00E008D4" w:rsidRPr="00C55E40" w:rsidTr="00D300EC">
        <w:tc>
          <w:tcPr>
            <w:tcW w:w="1328" w:type="dxa"/>
            <w:shd w:val="clear" w:color="auto" w:fill="auto"/>
          </w:tcPr>
          <w:p w:rsidR="00E008D4" w:rsidRPr="003565E4" w:rsidRDefault="00A6507E" w:rsidP="003565E4">
            <w:r w:rsidRPr="003565E4">
              <w:fldChar w:fldCharType="begin"/>
            </w:r>
            <w:r w:rsidRPr="003565E4">
              <w:instrText xml:space="preserve"> HYPERLINK  \l "Hereditary_estates" </w:instrText>
            </w:r>
            <w:r w:rsidRPr="003565E4">
              <w:fldChar w:fldCharType="separate"/>
            </w:r>
            <w:r w:rsidR="00E008D4" w:rsidRPr="003565E4">
              <w:rPr>
                <w:rStyle w:val="Hyperlink"/>
              </w:rPr>
              <w:t>Hereditary estate</w:t>
            </w:r>
            <w:bookmarkEnd w:id="15"/>
            <w:bookmarkEnd w:id="16"/>
            <w:r w:rsidRPr="003565E4">
              <w:fldChar w:fldCharType="end"/>
            </w:r>
          </w:p>
        </w:tc>
        <w:tc>
          <w:tcPr>
            <w:tcW w:w="1372" w:type="dxa"/>
            <w:shd w:val="clear" w:color="auto" w:fill="auto"/>
          </w:tcPr>
          <w:p w:rsidR="00E008D4" w:rsidRPr="007A1DA0" w:rsidRDefault="00E008D4" w:rsidP="00704738">
            <w:pPr>
              <w:spacing w:line="276" w:lineRule="auto"/>
              <w:rPr>
                <w:rFonts w:cs="Arial"/>
              </w:rPr>
            </w:pPr>
            <w:r w:rsidRPr="007A1DA0">
              <w:rPr>
                <w:rFonts w:cs="Arial"/>
              </w:rPr>
              <w:t>Yes</w:t>
            </w:r>
          </w:p>
        </w:tc>
        <w:tc>
          <w:tcPr>
            <w:tcW w:w="5097" w:type="dxa"/>
            <w:shd w:val="clear" w:color="auto" w:fill="auto"/>
          </w:tcPr>
          <w:p w:rsidR="00E008D4" w:rsidRPr="007A1DA0" w:rsidRDefault="00E008D4" w:rsidP="00704738">
            <w:pPr>
              <w:spacing w:line="276" w:lineRule="auto"/>
              <w:rPr>
                <w:rFonts w:cs="Arial"/>
              </w:rPr>
            </w:pPr>
            <w:r w:rsidRPr="007A1DA0">
              <w:rPr>
                <w:rFonts w:cs="Arial"/>
              </w:rPr>
              <w:t>A life interest held by a Noble (</w:t>
            </w:r>
            <w:proofErr w:type="spellStart"/>
            <w:r w:rsidRPr="007A1DA0">
              <w:rPr>
                <w:rFonts w:cs="Arial"/>
                <w:i/>
              </w:rPr>
              <w:t>tofia</w:t>
            </w:r>
            <w:proofErr w:type="spellEnd"/>
            <w:r w:rsidRPr="007A1DA0">
              <w:rPr>
                <w:rFonts w:cs="Arial"/>
              </w:rPr>
              <w:t>) or Chief (</w:t>
            </w:r>
            <w:proofErr w:type="spellStart"/>
            <w:r w:rsidRPr="007A1DA0">
              <w:rPr>
                <w:rFonts w:cs="Arial"/>
                <w:i/>
              </w:rPr>
              <w:t>matapule</w:t>
            </w:r>
            <w:proofErr w:type="spellEnd"/>
            <w:r w:rsidRPr="007A1DA0">
              <w:rPr>
                <w:rFonts w:cs="Arial"/>
              </w:rPr>
              <w:t>) and passed down from father to son.</w:t>
            </w:r>
          </w:p>
        </w:tc>
        <w:tc>
          <w:tcPr>
            <w:tcW w:w="1667" w:type="dxa"/>
            <w:shd w:val="clear" w:color="auto" w:fill="auto"/>
          </w:tcPr>
          <w:p w:rsidR="00E008D4" w:rsidRPr="007A1DA0" w:rsidRDefault="00CB348E" w:rsidP="00704738">
            <w:pPr>
              <w:spacing w:line="276" w:lineRule="auto"/>
              <w:rPr>
                <w:rFonts w:cs="Arial"/>
              </w:rPr>
            </w:pPr>
            <w:proofErr w:type="spellStart"/>
            <w:r w:rsidRPr="007A1DA0">
              <w:rPr>
                <w:rFonts w:cs="Arial"/>
              </w:rPr>
              <w:t>Tofia</w:t>
            </w:r>
            <w:proofErr w:type="spellEnd"/>
            <w:r w:rsidRPr="007A1DA0">
              <w:rPr>
                <w:rFonts w:cs="Arial"/>
              </w:rPr>
              <w:t xml:space="preserve"> certificate</w:t>
            </w:r>
          </w:p>
        </w:tc>
      </w:tr>
      <w:bookmarkStart w:id="17" w:name="_Toc512952858"/>
      <w:bookmarkStart w:id="18" w:name="_Toc512953132"/>
      <w:tr w:rsidR="00E008D4" w:rsidRPr="00C55E40" w:rsidTr="00D300EC">
        <w:tc>
          <w:tcPr>
            <w:tcW w:w="1328" w:type="dxa"/>
            <w:shd w:val="clear" w:color="auto" w:fill="auto"/>
          </w:tcPr>
          <w:p w:rsidR="00E008D4" w:rsidRPr="003565E4" w:rsidRDefault="00A6507E" w:rsidP="003565E4">
            <w:r w:rsidRPr="003565E4">
              <w:fldChar w:fldCharType="begin"/>
            </w:r>
            <w:r w:rsidRPr="003565E4">
              <w:instrText xml:space="preserve"> HYPERLINK  \l "Town_allot" </w:instrText>
            </w:r>
            <w:r w:rsidRPr="003565E4">
              <w:fldChar w:fldCharType="separate"/>
            </w:r>
            <w:r w:rsidR="00E008D4" w:rsidRPr="003565E4">
              <w:rPr>
                <w:rStyle w:val="Hyperlink"/>
              </w:rPr>
              <w:t>Town allotment</w:t>
            </w:r>
            <w:bookmarkEnd w:id="17"/>
            <w:bookmarkEnd w:id="18"/>
            <w:r w:rsidRPr="003565E4">
              <w:fldChar w:fldCharType="end"/>
            </w:r>
          </w:p>
        </w:tc>
        <w:tc>
          <w:tcPr>
            <w:tcW w:w="1372" w:type="dxa"/>
            <w:shd w:val="clear" w:color="auto" w:fill="auto"/>
          </w:tcPr>
          <w:p w:rsidR="00E008D4" w:rsidRPr="007A1DA0" w:rsidRDefault="00E008D4" w:rsidP="00704738">
            <w:pPr>
              <w:spacing w:line="276" w:lineRule="auto"/>
            </w:pPr>
            <w:r w:rsidRPr="007A1DA0">
              <w:rPr>
                <w:rFonts w:cs="Arial"/>
              </w:rPr>
              <w:t>Yes</w:t>
            </w:r>
          </w:p>
        </w:tc>
        <w:tc>
          <w:tcPr>
            <w:tcW w:w="5097" w:type="dxa"/>
            <w:shd w:val="clear" w:color="auto" w:fill="auto"/>
          </w:tcPr>
          <w:p w:rsidR="00E008D4" w:rsidRPr="007A1DA0" w:rsidRDefault="00E008D4" w:rsidP="00704738">
            <w:pPr>
              <w:spacing w:line="276" w:lineRule="auto"/>
            </w:pPr>
            <w:r w:rsidRPr="007A1DA0">
              <w:t xml:space="preserve">A life interest held by a single Tongan male and used for residential purposes. </w:t>
            </w:r>
            <w:r w:rsidR="007B0D88" w:rsidRPr="007A1DA0">
              <w:t xml:space="preserve">Passed down from father to son. </w:t>
            </w:r>
            <w:r w:rsidRPr="007A1DA0">
              <w:t>Normally located on a hereditary estate, bu</w:t>
            </w:r>
            <w:r w:rsidR="00556360">
              <w:t xml:space="preserve">t may be located on Crown land. </w:t>
            </w:r>
            <w:r w:rsidR="00304B3F" w:rsidRPr="007A1DA0">
              <w:t>Rarely held by women.</w:t>
            </w:r>
          </w:p>
        </w:tc>
        <w:tc>
          <w:tcPr>
            <w:tcW w:w="1667" w:type="dxa"/>
            <w:shd w:val="clear" w:color="auto" w:fill="auto"/>
          </w:tcPr>
          <w:p w:rsidR="00E008D4" w:rsidRPr="007A1DA0" w:rsidRDefault="00CB348E" w:rsidP="00704738">
            <w:pPr>
              <w:spacing w:line="276" w:lineRule="auto"/>
            </w:pPr>
            <w:r w:rsidRPr="007A1DA0">
              <w:t>Deed of Grant</w:t>
            </w:r>
          </w:p>
        </w:tc>
      </w:tr>
      <w:bookmarkStart w:id="19" w:name="_Toc512952859"/>
      <w:bookmarkStart w:id="20" w:name="_Toc512953133"/>
      <w:tr w:rsidR="00E008D4" w:rsidRPr="00C55E40" w:rsidTr="00D300EC">
        <w:tc>
          <w:tcPr>
            <w:tcW w:w="1328" w:type="dxa"/>
            <w:shd w:val="clear" w:color="auto" w:fill="auto"/>
          </w:tcPr>
          <w:p w:rsidR="00E008D4" w:rsidRPr="003565E4" w:rsidRDefault="00A6507E" w:rsidP="003565E4">
            <w:r w:rsidRPr="003565E4">
              <w:fldChar w:fldCharType="begin"/>
            </w:r>
            <w:r w:rsidRPr="003565E4">
              <w:instrText xml:space="preserve"> HYPERLINK  \l "Tax_allot" </w:instrText>
            </w:r>
            <w:r w:rsidRPr="003565E4">
              <w:fldChar w:fldCharType="separate"/>
            </w:r>
            <w:r w:rsidR="00E008D4" w:rsidRPr="003565E4">
              <w:rPr>
                <w:rStyle w:val="Hyperlink"/>
              </w:rPr>
              <w:t>Tax allotment</w:t>
            </w:r>
            <w:bookmarkEnd w:id="19"/>
            <w:bookmarkEnd w:id="20"/>
            <w:r w:rsidRPr="003565E4">
              <w:fldChar w:fldCharType="end"/>
            </w:r>
          </w:p>
        </w:tc>
        <w:tc>
          <w:tcPr>
            <w:tcW w:w="1372" w:type="dxa"/>
            <w:shd w:val="clear" w:color="auto" w:fill="auto"/>
          </w:tcPr>
          <w:p w:rsidR="00E008D4" w:rsidRPr="007A1DA0" w:rsidRDefault="00E008D4" w:rsidP="00704738">
            <w:pPr>
              <w:spacing w:line="276" w:lineRule="auto"/>
            </w:pPr>
            <w:r w:rsidRPr="007A1DA0">
              <w:rPr>
                <w:rFonts w:cs="Arial"/>
              </w:rPr>
              <w:t>Yes</w:t>
            </w:r>
          </w:p>
        </w:tc>
        <w:tc>
          <w:tcPr>
            <w:tcW w:w="5097" w:type="dxa"/>
            <w:shd w:val="clear" w:color="auto" w:fill="auto"/>
          </w:tcPr>
          <w:p w:rsidR="00E008D4" w:rsidRPr="007A1DA0" w:rsidRDefault="00E008D4" w:rsidP="00556360">
            <w:pPr>
              <w:spacing w:line="276" w:lineRule="auto"/>
            </w:pPr>
            <w:r w:rsidRPr="007A1DA0">
              <w:t xml:space="preserve">Same as </w:t>
            </w:r>
            <w:r w:rsidR="007B0D88" w:rsidRPr="007A1DA0">
              <w:t xml:space="preserve">town allotments </w:t>
            </w:r>
            <w:r w:rsidRPr="007A1DA0">
              <w:t>but used for agriculture.</w:t>
            </w:r>
          </w:p>
        </w:tc>
        <w:tc>
          <w:tcPr>
            <w:tcW w:w="1667" w:type="dxa"/>
            <w:shd w:val="clear" w:color="auto" w:fill="auto"/>
          </w:tcPr>
          <w:p w:rsidR="00E008D4" w:rsidRPr="007A1DA0" w:rsidRDefault="00CB348E" w:rsidP="00704738">
            <w:pPr>
              <w:spacing w:line="276" w:lineRule="auto"/>
            </w:pPr>
            <w:r w:rsidRPr="007A1DA0">
              <w:t>Deed of Grant</w:t>
            </w:r>
          </w:p>
        </w:tc>
      </w:tr>
      <w:bookmarkStart w:id="21" w:name="_Toc512952860"/>
      <w:bookmarkStart w:id="22" w:name="_Toc512953134"/>
      <w:tr w:rsidR="00E008D4" w:rsidRPr="00C55E40" w:rsidTr="00D300EC">
        <w:tc>
          <w:tcPr>
            <w:tcW w:w="1328" w:type="dxa"/>
            <w:shd w:val="clear" w:color="auto" w:fill="auto"/>
          </w:tcPr>
          <w:p w:rsidR="00E008D4" w:rsidRPr="003565E4" w:rsidRDefault="00A6507E" w:rsidP="003565E4">
            <w:r w:rsidRPr="003565E4">
              <w:fldChar w:fldCharType="begin"/>
            </w:r>
            <w:r w:rsidRPr="003565E4">
              <w:instrText xml:space="preserve"> HYPERLINK  \l "Lease" </w:instrText>
            </w:r>
            <w:r w:rsidRPr="003565E4">
              <w:fldChar w:fldCharType="separate"/>
            </w:r>
            <w:r w:rsidR="00704738" w:rsidRPr="003565E4">
              <w:rPr>
                <w:rStyle w:val="Hyperlink"/>
              </w:rPr>
              <w:t>Lease</w:t>
            </w:r>
            <w:bookmarkEnd w:id="21"/>
            <w:bookmarkEnd w:id="22"/>
            <w:r w:rsidRPr="003565E4">
              <w:fldChar w:fldCharType="end"/>
            </w:r>
          </w:p>
        </w:tc>
        <w:tc>
          <w:tcPr>
            <w:tcW w:w="1372" w:type="dxa"/>
            <w:shd w:val="clear" w:color="auto" w:fill="auto"/>
          </w:tcPr>
          <w:p w:rsidR="00E008D4" w:rsidRPr="007A1DA0" w:rsidRDefault="00E008D4" w:rsidP="00704738">
            <w:pPr>
              <w:spacing w:line="276" w:lineRule="auto"/>
            </w:pPr>
            <w:r w:rsidRPr="007A1DA0">
              <w:rPr>
                <w:rFonts w:cs="Arial"/>
              </w:rPr>
              <w:t>Yes</w:t>
            </w:r>
          </w:p>
        </w:tc>
        <w:tc>
          <w:tcPr>
            <w:tcW w:w="5097" w:type="dxa"/>
            <w:shd w:val="clear" w:color="auto" w:fill="auto"/>
          </w:tcPr>
          <w:p w:rsidR="00E008D4" w:rsidRPr="007A1DA0" w:rsidRDefault="007B0D88" w:rsidP="00704738">
            <w:pPr>
              <w:spacing w:line="276" w:lineRule="auto"/>
            </w:pPr>
            <w:r w:rsidRPr="007A1DA0">
              <w:t>M</w:t>
            </w:r>
            <w:r w:rsidR="00E008D4" w:rsidRPr="007A1DA0">
              <w:t>ay be</w:t>
            </w:r>
            <w:r w:rsidRPr="007A1DA0">
              <w:t xml:space="preserve"> </w:t>
            </w:r>
            <w:r w:rsidR="00E008D4" w:rsidRPr="007A1DA0">
              <w:t>granted over Crown land, hereditary estates or allotments</w:t>
            </w:r>
            <w:r w:rsidRPr="007A1DA0">
              <w:t xml:space="preserve">. May be </w:t>
            </w:r>
            <w:r w:rsidR="00E008D4" w:rsidRPr="007A1DA0">
              <w:t>transferred or sub-leased</w:t>
            </w:r>
            <w:r w:rsidRPr="007A1DA0">
              <w:t xml:space="preserve">. May be </w:t>
            </w:r>
            <w:r w:rsidR="00E008D4" w:rsidRPr="007A1DA0">
              <w:t>held by women or foreigners.</w:t>
            </w:r>
          </w:p>
          <w:p w:rsidR="00E008D4" w:rsidRPr="007A1DA0" w:rsidRDefault="00E008D4" w:rsidP="00704738">
            <w:pPr>
              <w:spacing w:line="276" w:lineRule="auto"/>
            </w:pPr>
            <w:r w:rsidRPr="007A1DA0">
              <w:t>Maximum duration of 99 years fo</w:t>
            </w:r>
            <w:r w:rsidR="007B0D88" w:rsidRPr="007A1DA0">
              <w:t xml:space="preserve">r </w:t>
            </w:r>
            <w:r w:rsidR="00251296">
              <w:t xml:space="preserve">leases of </w:t>
            </w:r>
            <w:r w:rsidRPr="007A1DA0">
              <w:t>hereditary estates and town allotments; maximum duration of 20 years for</w:t>
            </w:r>
            <w:r w:rsidR="00251296">
              <w:t xml:space="preserve"> leases of</w:t>
            </w:r>
            <w:r w:rsidRPr="007A1DA0">
              <w:t xml:space="preserve"> tax allotments.</w:t>
            </w:r>
          </w:p>
        </w:tc>
        <w:tc>
          <w:tcPr>
            <w:tcW w:w="1667" w:type="dxa"/>
            <w:shd w:val="clear" w:color="auto" w:fill="auto"/>
          </w:tcPr>
          <w:p w:rsidR="00E008D4" w:rsidRPr="007A1DA0" w:rsidRDefault="00CB348E" w:rsidP="00704738">
            <w:pPr>
              <w:spacing w:line="276" w:lineRule="auto"/>
            </w:pPr>
            <w:r w:rsidRPr="007A1DA0">
              <w:t>Form of Lease</w:t>
            </w:r>
          </w:p>
        </w:tc>
      </w:tr>
      <w:bookmarkStart w:id="23" w:name="_Toc512952861"/>
      <w:bookmarkStart w:id="24" w:name="_Toc512953135"/>
      <w:tr w:rsidR="00E008D4" w:rsidRPr="00C55E40" w:rsidTr="00D300EC">
        <w:tc>
          <w:tcPr>
            <w:tcW w:w="1328" w:type="dxa"/>
            <w:shd w:val="clear" w:color="auto" w:fill="auto"/>
          </w:tcPr>
          <w:p w:rsidR="00E008D4" w:rsidRPr="003565E4" w:rsidRDefault="00A6507E" w:rsidP="003565E4">
            <w:r w:rsidRPr="003565E4">
              <w:fldChar w:fldCharType="begin"/>
            </w:r>
            <w:r w:rsidRPr="003565E4">
              <w:instrText xml:space="preserve"> HYPERLINK  \l "sub_leases" </w:instrText>
            </w:r>
            <w:r w:rsidRPr="003565E4">
              <w:fldChar w:fldCharType="separate"/>
            </w:r>
            <w:r w:rsidR="00E008D4" w:rsidRPr="003565E4">
              <w:rPr>
                <w:rStyle w:val="Hyperlink"/>
              </w:rPr>
              <w:t>Sub-lease</w:t>
            </w:r>
            <w:bookmarkEnd w:id="23"/>
            <w:bookmarkEnd w:id="24"/>
            <w:r w:rsidRPr="003565E4">
              <w:fldChar w:fldCharType="end"/>
            </w:r>
          </w:p>
        </w:tc>
        <w:tc>
          <w:tcPr>
            <w:tcW w:w="1372" w:type="dxa"/>
            <w:shd w:val="clear" w:color="auto" w:fill="auto"/>
          </w:tcPr>
          <w:p w:rsidR="00E008D4" w:rsidRPr="007A1DA0" w:rsidRDefault="00E008D4" w:rsidP="00704738">
            <w:pPr>
              <w:spacing w:line="276" w:lineRule="auto"/>
            </w:pPr>
            <w:r w:rsidRPr="007A1DA0">
              <w:rPr>
                <w:rFonts w:cs="Arial"/>
              </w:rPr>
              <w:t>Sometimes</w:t>
            </w:r>
          </w:p>
        </w:tc>
        <w:tc>
          <w:tcPr>
            <w:tcW w:w="5097" w:type="dxa"/>
            <w:shd w:val="clear" w:color="auto" w:fill="auto"/>
          </w:tcPr>
          <w:p w:rsidR="00E008D4" w:rsidRPr="007A1DA0" w:rsidRDefault="00E008D4" w:rsidP="00704738">
            <w:pPr>
              <w:spacing w:line="276" w:lineRule="auto"/>
            </w:pPr>
            <w:r w:rsidRPr="007A1DA0">
              <w:t>Similar to leases but not required to be registered if for 3 years or less.</w:t>
            </w:r>
          </w:p>
        </w:tc>
        <w:tc>
          <w:tcPr>
            <w:tcW w:w="1667" w:type="dxa"/>
            <w:shd w:val="clear" w:color="auto" w:fill="auto"/>
          </w:tcPr>
          <w:p w:rsidR="00E008D4" w:rsidRPr="007A1DA0" w:rsidRDefault="00CB348E" w:rsidP="00704738">
            <w:pPr>
              <w:spacing w:line="276" w:lineRule="auto"/>
            </w:pPr>
            <w:r w:rsidRPr="007A1DA0">
              <w:t>Form of Sub-Lease</w:t>
            </w:r>
          </w:p>
        </w:tc>
      </w:tr>
      <w:tr w:rsidR="00E008D4" w:rsidRPr="00C55E40" w:rsidTr="00D300EC">
        <w:tc>
          <w:tcPr>
            <w:tcW w:w="1328" w:type="dxa"/>
            <w:tcBorders>
              <w:bottom w:val="single" w:sz="4" w:space="0" w:color="auto"/>
            </w:tcBorders>
            <w:shd w:val="clear" w:color="auto" w:fill="auto"/>
          </w:tcPr>
          <w:p w:rsidR="00E008D4" w:rsidRPr="00D300EC" w:rsidRDefault="00E90975" w:rsidP="00704738">
            <w:pPr>
              <w:spacing w:line="276" w:lineRule="auto"/>
            </w:pPr>
            <w:hyperlink w:anchor="Permit" w:history="1">
              <w:r w:rsidR="00E008D4" w:rsidRPr="00A6507E">
                <w:rPr>
                  <w:rStyle w:val="Hyperlink"/>
                </w:rPr>
                <w:t>Permit</w:t>
              </w:r>
            </w:hyperlink>
          </w:p>
        </w:tc>
        <w:tc>
          <w:tcPr>
            <w:tcW w:w="1372" w:type="dxa"/>
            <w:tcBorders>
              <w:bottom w:val="single" w:sz="4" w:space="0" w:color="auto"/>
            </w:tcBorders>
            <w:shd w:val="clear" w:color="auto" w:fill="auto"/>
          </w:tcPr>
          <w:p w:rsidR="00E008D4" w:rsidRPr="007A1DA0" w:rsidRDefault="00E008D4" w:rsidP="00704738">
            <w:pPr>
              <w:spacing w:line="276" w:lineRule="auto"/>
            </w:pPr>
            <w:r w:rsidRPr="007A1DA0">
              <w:rPr>
                <w:rFonts w:cs="Arial"/>
              </w:rPr>
              <w:t>Yes</w:t>
            </w:r>
          </w:p>
        </w:tc>
        <w:tc>
          <w:tcPr>
            <w:tcW w:w="5097" w:type="dxa"/>
            <w:tcBorders>
              <w:bottom w:val="single" w:sz="4" w:space="0" w:color="auto"/>
            </w:tcBorders>
            <w:shd w:val="clear" w:color="auto" w:fill="auto"/>
          </w:tcPr>
          <w:p w:rsidR="00E008D4" w:rsidRPr="007A1DA0" w:rsidRDefault="00E008D4" w:rsidP="00704738">
            <w:pPr>
              <w:spacing w:line="276" w:lineRule="auto"/>
            </w:pPr>
            <w:r w:rsidRPr="007A1DA0">
              <w:t xml:space="preserve">Similar to leases but </w:t>
            </w:r>
            <w:r w:rsidR="00CB348E" w:rsidRPr="007A1DA0">
              <w:t xml:space="preserve">landholder retains greater degree of control because permits </w:t>
            </w:r>
            <w:r w:rsidRPr="007A1DA0">
              <w:t>cannot be transferred or sub-leased</w:t>
            </w:r>
            <w:r w:rsidR="0093119A" w:rsidRPr="007A1DA0">
              <w:t>.</w:t>
            </w:r>
          </w:p>
        </w:tc>
        <w:tc>
          <w:tcPr>
            <w:tcW w:w="1667" w:type="dxa"/>
            <w:tcBorders>
              <w:bottom w:val="single" w:sz="4" w:space="0" w:color="auto"/>
            </w:tcBorders>
            <w:shd w:val="clear" w:color="auto" w:fill="auto"/>
          </w:tcPr>
          <w:p w:rsidR="00E008D4" w:rsidRPr="007A1DA0" w:rsidRDefault="00CB348E" w:rsidP="00704738">
            <w:pPr>
              <w:spacing w:line="276" w:lineRule="auto"/>
            </w:pPr>
            <w:r w:rsidRPr="007A1DA0">
              <w:t>Form of Permit</w:t>
            </w:r>
          </w:p>
        </w:tc>
      </w:tr>
      <w:tr w:rsidR="00E008D4" w:rsidRPr="00C55E40" w:rsidTr="00BD4E32">
        <w:trPr>
          <w:trHeight w:val="1170"/>
        </w:trPr>
        <w:tc>
          <w:tcPr>
            <w:tcW w:w="1328" w:type="dxa"/>
            <w:shd w:val="clear" w:color="auto" w:fill="auto"/>
          </w:tcPr>
          <w:p w:rsidR="00E008D4" w:rsidRPr="00D300EC" w:rsidRDefault="00E90975" w:rsidP="00704738">
            <w:pPr>
              <w:spacing w:line="276" w:lineRule="auto"/>
              <w:rPr>
                <w:rStyle w:val="Hyperlink"/>
              </w:rPr>
            </w:pPr>
            <w:hyperlink w:anchor="Tenancy_Agreement" w:history="1">
              <w:r w:rsidR="00E008D4" w:rsidRPr="005100FF">
                <w:rPr>
                  <w:rStyle w:val="Hyperlink"/>
                </w:rPr>
                <w:t>Tenancy agreement</w:t>
              </w:r>
            </w:hyperlink>
          </w:p>
        </w:tc>
        <w:tc>
          <w:tcPr>
            <w:tcW w:w="1372" w:type="dxa"/>
            <w:shd w:val="clear" w:color="auto" w:fill="auto"/>
          </w:tcPr>
          <w:p w:rsidR="00E008D4" w:rsidRPr="007A1DA0" w:rsidRDefault="00E008D4" w:rsidP="00704738">
            <w:pPr>
              <w:spacing w:line="276" w:lineRule="auto"/>
            </w:pPr>
            <w:r w:rsidRPr="007A1DA0">
              <w:t>No</w:t>
            </w:r>
          </w:p>
        </w:tc>
        <w:tc>
          <w:tcPr>
            <w:tcW w:w="5097" w:type="dxa"/>
            <w:shd w:val="clear" w:color="auto" w:fill="auto"/>
          </w:tcPr>
          <w:p w:rsidR="00E008D4" w:rsidRPr="007A1DA0" w:rsidRDefault="00556360" w:rsidP="00556360">
            <w:pPr>
              <w:spacing w:line="276" w:lineRule="auto"/>
            </w:pPr>
            <w:r>
              <w:t>Written agreement</w:t>
            </w:r>
            <w:r w:rsidR="0093119A" w:rsidRPr="007A1DA0">
              <w:t xml:space="preserve"> which may be, but </w:t>
            </w:r>
            <w:r>
              <w:t>is</w:t>
            </w:r>
            <w:r w:rsidR="0093119A" w:rsidRPr="007A1DA0">
              <w:t xml:space="preserve"> not normally, registered. </w:t>
            </w:r>
            <w:r>
              <w:t>M</w:t>
            </w:r>
            <w:r w:rsidR="0093119A" w:rsidRPr="007A1DA0">
              <w:t>ajority of tenancy agreements are not legally enforceable.</w:t>
            </w:r>
            <w:r>
              <w:t xml:space="preserve"> Some tenancy agreements are verbal.</w:t>
            </w:r>
          </w:p>
        </w:tc>
        <w:tc>
          <w:tcPr>
            <w:tcW w:w="1667" w:type="dxa"/>
            <w:shd w:val="clear" w:color="auto" w:fill="auto"/>
          </w:tcPr>
          <w:p w:rsidR="00CB348E" w:rsidRPr="007A1DA0" w:rsidRDefault="001B2E78" w:rsidP="00704738">
            <w:pPr>
              <w:spacing w:line="276" w:lineRule="auto"/>
            </w:pPr>
            <w:r w:rsidRPr="007A1DA0">
              <w:t>n/a</w:t>
            </w:r>
          </w:p>
        </w:tc>
      </w:tr>
      <w:tr w:rsidR="00E008D4" w:rsidRPr="00C55E40" w:rsidTr="00D300EC">
        <w:tc>
          <w:tcPr>
            <w:tcW w:w="1328" w:type="dxa"/>
            <w:shd w:val="clear" w:color="auto" w:fill="auto"/>
          </w:tcPr>
          <w:p w:rsidR="00E008D4" w:rsidRPr="00D300EC" w:rsidRDefault="00E90975" w:rsidP="00704738">
            <w:pPr>
              <w:spacing w:line="276" w:lineRule="auto"/>
              <w:rPr>
                <w:rStyle w:val="Hyperlink"/>
              </w:rPr>
            </w:pPr>
            <w:hyperlink w:anchor="Licence" w:history="1">
              <w:r w:rsidR="00E008D4" w:rsidRPr="005100FF">
                <w:rPr>
                  <w:rStyle w:val="Hyperlink"/>
                </w:rPr>
                <w:t>Licence</w:t>
              </w:r>
            </w:hyperlink>
          </w:p>
        </w:tc>
        <w:tc>
          <w:tcPr>
            <w:tcW w:w="1372" w:type="dxa"/>
            <w:shd w:val="clear" w:color="auto" w:fill="auto"/>
          </w:tcPr>
          <w:p w:rsidR="00E008D4" w:rsidRPr="007A1DA0" w:rsidRDefault="00E008D4" w:rsidP="00704738">
            <w:pPr>
              <w:spacing w:line="276" w:lineRule="auto"/>
            </w:pPr>
            <w:r w:rsidRPr="007A1DA0">
              <w:t>No</w:t>
            </w:r>
          </w:p>
        </w:tc>
        <w:tc>
          <w:tcPr>
            <w:tcW w:w="5097" w:type="dxa"/>
            <w:shd w:val="clear" w:color="auto" w:fill="auto"/>
          </w:tcPr>
          <w:p w:rsidR="00E008D4" w:rsidRPr="007A1DA0" w:rsidRDefault="00CB348E" w:rsidP="00556360">
            <w:pPr>
              <w:spacing w:line="276" w:lineRule="auto"/>
            </w:pPr>
            <w:r w:rsidRPr="007A1DA0">
              <w:t>V</w:t>
            </w:r>
            <w:r w:rsidR="0093119A" w:rsidRPr="007A1DA0">
              <w:t xml:space="preserve">erbal permission to use land and/or housing. Commonly granted to family or friends. Not </w:t>
            </w:r>
            <w:r w:rsidR="007B0D88" w:rsidRPr="007A1DA0">
              <w:t xml:space="preserve">capable of being registered and </w:t>
            </w:r>
            <w:r w:rsidR="002C035B" w:rsidRPr="007A1DA0">
              <w:t xml:space="preserve">very </w:t>
            </w:r>
            <w:r w:rsidR="00213BB2" w:rsidRPr="007A1DA0">
              <w:t>difficult to enforce</w:t>
            </w:r>
            <w:r w:rsidR="00556360">
              <w:t xml:space="preserve"> (requires court case and evidence of landholder's conduct).</w:t>
            </w:r>
          </w:p>
        </w:tc>
        <w:tc>
          <w:tcPr>
            <w:tcW w:w="1667" w:type="dxa"/>
            <w:shd w:val="clear" w:color="auto" w:fill="auto"/>
          </w:tcPr>
          <w:p w:rsidR="00E008D4" w:rsidRPr="007A1DA0" w:rsidRDefault="001B2E78" w:rsidP="00704738">
            <w:pPr>
              <w:spacing w:line="276" w:lineRule="auto"/>
            </w:pPr>
            <w:r w:rsidRPr="007A1DA0">
              <w:t>n/a</w:t>
            </w:r>
          </w:p>
        </w:tc>
      </w:tr>
    </w:tbl>
    <w:p w:rsidR="005F4174" w:rsidRPr="003565E4" w:rsidRDefault="003565E4" w:rsidP="003565E4">
      <w:pPr>
        <w:rPr>
          <w:b/>
          <w:sz w:val="22"/>
          <w:szCs w:val="22"/>
        </w:rPr>
      </w:pPr>
      <w:bookmarkStart w:id="25" w:name="_Toc512952862"/>
      <w:bookmarkStart w:id="26" w:name="_Toc512953136"/>
      <w:r>
        <w:rPr>
          <w:b/>
          <w:sz w:val="22"/>
          <w:szCs w:val="22"/>
        </w:rPr>
        <w:t>3</w:t>
      </w:r>
      <w:r>
        <w:rPr>
          <w:b/>
          <w:sz w:val="22"/>
          <w:szCs w:val="22"/>
        </w:rPr>
        <w:tab/>
      </w:r>
      <w:hyperlink w:anchor="Security_of_tenure_of_vulnerable_group" w:history="1">
        <w:r w:rsidR="00C607A8" w:rsidRPr="003565E4">
          <w:rPr>
            <w:rStyle w:val="Hyperlink"/>
            <w:b/>
            <w:color w:val="auto"/>
            <w:sz w:val="22"/>
            <w:szCs w:val="22"/>
            <w:u w:val="none"/>
          </w:rPr>
          <w:t>Security of tenure of vulnerable groups</w:t>
        </w:r>
        <w:bookmarkEnd w:id="25"/>
        <w:bookmarkEnd w:id="26"/>
      </w:hyperlink>
    </w:p>
    <w:tbl>
      <w:tblPr>
        <w:tblStyle w:val="TableGrid"/>
        <w:tblW w:w="0" w:type="auto"/>
        <w:tblInd w:w="108" w:type="dxa"/>
        <w:tblLook w:val="04A0" w:firstRow="1" w:lastRow="0" w:firstColumn="1" w:lastColumn="0" w:noHBand="0" w:noVBand="1"/>
      </w:tblPr>
      <w:tblGrid>
        <w:gridCol w:w="1560"/>
        <w:gridCol w:w="7904"/>
      </w:tblGrid>
      <w:tr w:rsidR="007A1DA0" w:rsidTr="008168BF">
        <w:tc>
          <w:tcPr>
            <w:tcW w:w="1560" w:type="dxa"/>
            <w:shd w:val="clear" w:color="auto" w:fill="auto"/>
          </w:tcPr>
          <w:p w:rsidR="00726A23" w:rsidRPr="00D300EC" w:rsidRDefault="00E90975" w:rsidP="00D300EC">
            <w:pPr>
              <w:spacing w:line="276" w:lineRule="auto"/>
              <w:rPr>
                <w:rStyle w:val="Hyperlink"/>
              </w:rPr>
            </w:pPr>
            <w:hyperlink w:anchor="Women" w:history="1">
              <w:r w:rsidR="00726A23" w:rsidRPr="005100FF">
                <w:rPr>
                  <w:rStyle w:val="Hyperlink"/>
                </w:rPr>
                <w:t>Women</w:t>
              </w:r>
            </w:hyperlink>
          </w:p>
        </w:tc>
        <w:tc>
          <w:tcPr>
            <w:tcW w:w="7904" w:type="dxa"/>
            <w:shd w:val="clear" w:color="auto" w:fill="auto"/>
          </w:tcPr>
          <w:p w:rsidR="00726A23" w:rsidRPr="007A1DA0" w:rsidRDefault="00726A23" w:rsidP="00704738">
            <w:pPr>
              <w:spacing w:line="276" w:lineRule="auto"/>
            </w:pPr>
            <w:r w:rsidRPr="007A1DA0">
              <w:t>Women cannot own estates and rarely own</w:t>
            </w:r>
            <w:r w:rsidR="0039323D" w:rsidRPr="007A1DA0">
              <w:t xml:space="preserve"> </w:t>
            </w:r>
            <w:r w:rsidRPr="007A1DA0">
              <w:t xml:space="preserve">allotments. </w:t>
            </w:r>
            <w:r w:rsidRPr="007A1DA0">
              <w:rPr>
                <w:rFonts w:eastAsiaTheme="minorEastAsia"/>
                <w:lang w:val="en-GB" w:eastAsia="en-US"/>
              </w:rPr>
              <w:t xml:space="preserve">It is common for women to live on estates or allotments owned by their husbands or male family members. In this situation, women do not have a </w:t>
            </w:r>
            <w:r w:rsidRPr="007A1DA0">
              <w:rPr>
                <w:rFonts w:eastAsiaTheme="minorEastAsia"/>
                <w:i/>
                <w:lang w:val="en-GB" w:eastAsia="en-US"/>
              </w:rPr>
              <w:t>legal</w:t>
            </w:r>
            <w:r w:rsidRPr="007A1DA0">
              <w:rPr>
                <w:rFonts w:eastAsiaTheme="minorEastAsia"/>
                <w:lang w:val="en-GB" w:eastAsia="en-US"/>
              </w:rPr>
              <w:t xml:space="preserve"> entitlement to occupy the land</w:t>
            </w:r>
            <w:r w:rsidR="00704738">
              <w:rPr>
                <w:rFonts w:eastAsiaTheme="minorEastAsia"/>
                <w:lang w:val="en-GB" w:eastAsia="en-US"/>
              </w:rPr>
              <w:t xml:space="preserve">. Instead, they </w:t>
            </w:r>
            <w:r w:rsidR="00E30E46" w:rsidRPr="007A1DA0">
              <w:rPr>
                <w:rFonts w:eastAsiaTheme="minorEastAsia"/>
                <w:lang w:val="en-GB" w:eastAsia="en-US"/>
              </w:rPr>
              <w:t>r</w:t>
            </w:r>
            <w:r w:rsidRPr="007A1DA0">
              <w:rPr>
                <w:rFonts w:eastAsiaTheme="minorEastAsia"/>
                <w:lang w:val="en-GB" w:eastAsia="en-US"/>
              </w:rPr>
              <w:t xml:space="preserve">ely on their husbands' or </w:t>
            </w:r>
            <w:r w:rsidR="00556360">
              <w:rPr>
                <w:rFonts w:eastAsiaTheme="minorEastAsia"/>
                <w:lang w:val="en-GB" w:eastAsia="en-US"/>
              </w:rPr>
              <w:t xml:space="preserve">male </w:t>
            </w:r>
            <w:r w:rsidR="00843AB3">
              <w:rPr>
                <w:rFonts w:eastAsiaTheme="minorEastAsia"/>
                <w:lang w:val="en-GB" w:eastAsia="en-US"/>
              </w:rPr>
              <w:t>family members' good will, which is informed by social norms and expectations.</w:t>
            </w:r>
          </w:p>
        </w:tc>
      </w:tr>
      <w:tr w:rsidR="00700930" w:rsidTr="008168BF">
        <w:tc>
          <w:tcPr>
            <w:tcW w:w="1560" w:type="dxa"/>
            <w:shd w:val="clear" w:color="auto" w:fill="auto"/>
          </w:tcPr>
          <w:p w:rsidR="00726A23" w:rsidRPr="00D300EC" w:rsidRDefault="00E90975" w:rsidP="00D300EC">
            <w:pPr>
              <w:spacing w:line="276" w:lineRule="auto"/>
              <w:rPr>
                <w:rStyle w:val="Hyperlink"/>
              </w:rPr>
            </w:pPr>
            <w:hyperlink w:anchor="Minority_groups" w:history="1">
              <w:r w:rsidR="00726A23" w:rsidRPr="005100FF">
                <w:rPr>
                  <w:rStyle w:val="Hyperlink"/>
                </w:rPr>
                <w:t>Minority groups</w:t>
              </w:r>
            </w:hyperlink>
          </w:p>
        </w:tc>
        <w:tc>
          <w:tcPr>
            <w:tcW w:w="7904" w:type="dxa"/>
            <w:shd w:val="clear" w:color="auto" w:fill="auto"/>
          </w:tcPr>
          <w:p w:rsidR="00726A23" w:rsidRPr="007A1DA0" w:rsidRDefault="00E30E46" w:rsidP="00A52E5C">
            <w:pPr>
              <w:spacing w:line="276" w:lineRule="auto"/>
            </w:pPr>
            <w:r w:rsidRPr="007A1DA0">
              <w:t xml:space="preserve">The main ethnic minority in Tonga </w:t>
            </w:r>
            <w:r w:rsidR="00556360">
              <w:t>is</w:t>
            </w:r>
            <w:r w:rsidRPr="007A1DA0">
              <w:t xml:space="preserve"> the Chines</w:t>
            </w:r>
            <w:r w:rsidR="0039323D" w:rsidRPr="007A1DA0">
              <w:t>e</w:t>
            </w:r>
            <w:r w:rsidR="00556360">
              <w:t>, which represent 2 % of the urban population</w:t>
            </w:r>
            <w:r w:rsidR="0039323D" w:rsidRPr="007A1DA0">
              <w:t xml:space="preserve">. They </w:t>
            </w:r>
            <w:r w:rsidR="00556360">
              <w:t xml:space="preserve">can and do </w:t>
            </w:r>
            <w:r w:rsidR="00A52E5C">
              <w:t>hold leases and</w:t>
            </w:r>
            <w:r w:rsidR="0039323D" w:rsidRPr="007A1DA0">
              <w:t xml:space="preserve"> permits, but </w:t>
            </w:r>
            <w:r w:rsidR="00556360">
              <w:t xml:space="preserve">they </w:t>
            </w:r>
            <w:r w:rsidR="0039323D" w:rsidRPr="007A1DA0">
              <w:t xml:space="preserve">cannot hold estates or allotments. Members of the Chinese minority </w:t>
            </w:r>
            <w:r w:rsidR="00704738">
              <w:t xml:space="preserve">often </w:t>
            </w:r>
            <w:r w:rsidR="0039323D" w:rsidRPr="007A1DA0">
              <w:t xml:space="preserve">have tenancy agreements, which are generally not </w:t>
            </w:r>
            <w:r w:rsidR="002C035B" w:rsidRPr="007A1DA0">
              <w:t xml:space="preserve">legally </w:t>
            </w:r>
            <w:r w:rsidR="0039323D" w:rsidRPr="007A1DA0">
              <w:t>enforceable.</w:t>
            </w:r>
          </w:p>
        </w:tc>
      </w:tr>
      <w:tr w:rsidR="00726A23" w:rsidTr="008168BF">
        <w:tc>
          <w:tcPr>
            <w:tcW w:w="1560" w:type="dxa"/>
            <w:shd w:val="clear" w:color="auto" w:fill="auto"/>
          </w:tcPr>
          <w:p w:rsidR="00726A23" w:rsidRPr="00D300EC" w:rsidRDefault="00E90975" w:rsidP="00D300EC">
            <w:pPr>
              <w:spacing w:line="276" w:lineRule="auto"/>
              <w:rPr>
                <w:rStyle w:val="Hyperlink"/>
              </w:rPr>
            </w:pPr>
            <w:hyperlink w:anchor="Informal_settle" w:history="1">
              <w:r w:rsidR="00D4266E" w:rsidRPr="005100FF">
                <w:rPr>
                  <w:rStyle w:val="Hyperlink"/>
                </w:rPr>
                <w:t>Informal settlements</w:t>
              </w:r>
            </w:hyperlink>
          </w:p>
        </w:tc>
        <w:tc>
          <w:tcPr>
            <w:tcW w:w="7904" w:type="dxa"/>
            <w:shd w:val="clear" w:color="auto" w:fill="auto"/>
          </w:tcPr>
          <w:p w:rsidR="00D4266E" w:rsidRPr="007A1DA0" w:rsidRDefault="002C035B" w:rsidP="00704738">
            <w:pPr>
              <w:spacing w:line="276" w:lineRule="auto"/>
            </w:pPr>
            <w:r w:rsidRPr="007A1DA0">
              <w:t>As of March 201</w:t>
            </w:r>
            <w:r w:rsidR="00704738">
              <w:t>7</w:t>
            </w:r>
            <w:r w:rsidRPr="007A1DA0">
              <w:t>, t</w:t>
            </w:r>
            <w:r w:rsidR="0039323D" w:rsidRPr="007A1DA0">
              <w:t xml:space="preserve">here are no informal settlements </w:t>
            </w:r>
            <w:r w:rsidR="00212E62">
              <w:t xml:space="preserve">in Tonga. </w:t>
            </w:r>
            <w:r w:rsidR="00704738">
              <w:t>In 2015, t</w:t>
            </w:r>
            <w:r w:rsidR="00212E62">
              <w:t>he government legalised an</w:t>
            </w:r>
            <w:r w:rsidR="0039323D" w:rsidRPr="007A1DA0">
              <w:t xml:space="preserve"> informal settlement in Nuku'alofa</w:t>
            </w:r>
            <w:r w:rsidRPr="007A1DA0">
              <w:t xml:space="preserve">, </w:t>
            </w:r>
            <w:r w:rsidR="0039323D" w:rsidRPr="007A1DA0">
              <w:t>named '</w:t>
            </w:r>
            <w:proofErr w:type="spellStart"/>
            <w:r w:rsidR="0039323D" w:rsidRPr="007A1DA0">
              <w:t>Patangata</w:t>
            </w:r>
            <w:proofErr w:type="spellEnd"/>
            <w:r w:rsidRPr="007A1DA0">
              <w:t>'</w:t>
            </w:r>
            <w:proofErr w:type="gramStart"/>
            <w:r w:rsidRPr="007A1DA0">
              <w:t xml:space="preserve">, </w:t>
            </w:r>
            <w:r w:rsidR="00704738">
              <w:t xml:space="preserve"> </w:t>
            </w:r>
            <w:r w:rsidR="00212E62">
              <w:t>by</w:t>
            </w:r>
            <w:proofErr w:type="gramEnd"/>
            <w:r w:rsidR="00212E62">
              <w:t xml:space="preserve"> </w:t>
            </w:r>
            <w:r w:rsidR="00212E62">
              <w:rPr>
                <w:rFonts w:cs="Arial"/>
              </w:rPr>
              <w:t>granting 30-year leases to the head of each family occupying the settlement.</w:t>
            </w:r>
          </w:p>
        </w:tc>
      </w:tr>
      <w:tr w:rsidR="00D4266E" w:rsidTr="008168BF">
        <w:tc>
          <w:tcPr>
            <w:tcW w:w="1560" w:type="dxa"/>
            <w:shd w:val="clear" w:color="auto" w:fill="auto"/>
          </w:tcPr>
          <w:p w:rsidR="00D4266E" w:rsidRPr="00D300EC" w:rsidRDefault="00E90975" w:rsidP="00D300EC">
            <w:pPr>
              <w:spacing w:line="276" w:lineRule="auto"/>
              <w:rPr>
                <w:rStyle w:val="Hyperlink"/>
              </w:rPr>
            </w:pPr>
            <w:hyperlink w:anchor="Landless_people" w:history="1">
              <w:r w:rsidR="00D4266E" w:rsidRPr="005100FF">
                <w:rPr>
                  <w:rStyle w:val="Hyperlink"/>
                </w:rPr>
                <w:t>Landless people</w:t>
              </w:r>
            </w:hyperlink>
          </w:p>
        </w:tc>
        <w:tc>
          <w:tcPr>
            <w:tcW w:w="7904" w:type="dxa"/>
            <w:shd w:val="clear" w:color="auto" w:fill="auto"/>
          </w:tcPr>
          <w:p w:rsidR="00DE0C8E" w:rsidRPr="007A1DA0" w:rsidRDefault="00704738" w:rsidP="00D6687B">
            <w:pPr>
              <w:spacing w:line="276" w:lineRule="auto"/>
            </w:pPr>
            <w:r>
              <w:t>Adver</w:t>
            </w:r>
            <w:r w:rsidR="00D6687B">
              <w:t>se possession is not recognised but i</w:t>
            </w:r>
            <w:r w:rsidR="00DE0C8E" w:rsidRPr="007A1DA0">
              <w:t xml:space="preserve">t </w:t>
            </w:r>
            <w:r w:rsidR="00837213" w:rsidRPr="007A1DA0">
              <w:t>is</w:t>
            </w:r>
            <w:r w:rsidR="00D4266E" w:rsidRPr="007A1DA0">
              <w:t xml:space="preserve"> lawful for a person to occupy land without the owner's permission until the owner takes steps to evict</w:t>
            </w:r>
            <w:r>
              <w:t xml:space="preserve"> them.</w:t>
            </w:r>
          </w:p>
        </w:tc>
      </w:tr>
    </w:tbl>
    <w:p w:rsidR="005F4174" w:rsidRPr="00975C5E" w:rsidRDefault="00975C5E" w:rsidP="00975C5E">
      <w:pPr>
        <w:rPr>
          <w:b/>
          <w:sz w:val="22"/>
          <w:szCs w:val="22"/>
        </w:rPr>
      </w:pPr>
      <w:bookmarkStart w:id="27" w:name="_Toc512952863"/>
      <w:bookmarkStart w:id="28" w:name="_Toc512953137"/>
      <w:r>
        <w:rPr>
          <w:b/>
          <w:sz w:val="22"/>
          <w:szCs w:val="22"/>
        </w:rPr>
        <w:t>4</w:t>
      </w:r>
      <w:r>
        <w:rPr>
          <w:b/>
          <w:sz w:val="22"/>
          <w:szCs w:val="22"/>
        </w:rPr>
        <w:tab/>
      </w:r>
      <w:hyperlink w:anchor="Eviction_Expropriation_Relocation" w:history="1">
        <w:r w:rsidR="007456B0" w:rsidRPr="00975C5E">
          <w:rPr>
            <w:rStyle w:val="Hyperlink"/>
            <w:b/>
            <w:color w:val="auto"/>
            <w:sz w:val="22"/>
            <w:szCs w:val="22"/>
            <w:u w:val="none"/>
          </w:rPr>
          <w:t>Eviction, e</w:t>
        </w:r>
        <w:r w:rsidR="00213BB2" w:rsidRPr="00975C5E">
          <w:rPr>
            <w:rStyle w:val="Hyperlink"/>
            <w:b/>
            <w:color w:val="auto"/>
            <w:sz w:val="22"/>
            <w:szCs w:val="22"/>
            <w:u w:val="none"/>
          </w:rPr>
          <w:t xml:space="preserve">xpropriation and </w:t>
        </w:r>
        <w:r w:rsidR="007456B0" w:rsidRPr="00975C5E">
          <w:rPr>
            <w:rStyle w:val="Hyperlink"/>
            <w:b/>
            <w:color w:val="auto"/>
            <w:sz w:val="22"/>
            <w:szCs w:val="22"/>
            <w:u w:val="none"/>
          </w:rPr>
          <w:t>r</w:t>
        </w:r>
        <w:r w:rsidR="00213BB2" w:rsidRPr="00975C5E">
          <w:rPr>
            <w:rStyle w:val="Hyperlink"/>
            <w:b/>
            <w:color w:val="auto"/>
            <w:sz w:val="22"/>
            <w:szCs w:val="22"/>
            <w:u w:val="none"/>
          </w:rPr>
          <w:t>elocation</w:t>
        </w:r>
        <w:bookmarkEnd w:id="27"/>
        <w:bookmarkEnd w:id="28"/>
      </w:hyperlink>
    </w:p>
    <w:tbl>
      <w:tblPr>
        <w:tblStyle w:val="TableGrid"/>
        <w:tblW w:w="0" w:type="auto"/>
        <w:tblInd w:w="108" w:type="dxa"/>
        <w:tblLook w:val="04A0" w:firstRow="1" w:lastRow="0" w:firstColumn="1" w:lastColumn="0" w:noHBand="0" w:noVBand="1"/>
      </w:tblPr>
      <w:tblGrid>
        <w:gridCol w:w="1560"/>
        <w:gridCol w:w="7904"/>
      </w:tblGrid>
      <w:tr w:rsidR="007A1DA0" w:rsidRPr="007A1DA0" w:rsidTr="008168BF">
        <w:tc>
          <w:tcPr>
            <w:tcW w:w="1560" w:type="dxa"/>
            <w:shd w:val="clear" w:color="auto" w:fill="auto"/>
          </w:tcPr>
          <w:p w:rsidR="007A1DA0" w:rsidRPr="00D300EC" w:rsidRDefault="00E90975" w:rsidP="00D300EC">
            <w:pPr>
              <w:spacing w:line="276" w:lineRule="auto"/>
              <w:rPr>
                <w:rStyle w:val="Hyperlink"/>
              </w:rPr>
            </w:pPr>
            <w:hyperlink w:anchor="Eviction" w:history="1">
              <w:r w:rsidR="007A1DA0" w:rsidRPr="00980219">
                <w:rPr>
                  <w:rStyle w:val="Hyperlink"/>
                </w:rPr>
                <w:t>Eviction</w:t>
              </w:r>
            </w:hyperlink>
          </w:p>
        </w:tc>
        <w:tc>
          <w:tcPr>
            <w:tcW w:w="7904" w:type="dxa"/>
            <w:shd w:val="clear" w:color="auto" w:fill="auto"/>
          </w:tcPr>
          <w:p w:rsidR="007A1DA0" w:rsidRDefault="007A1DA0" w:rsidP="00704738">
            <w:pPr>
              <w:spacing w:line="276" w:lineRule="auto"/>
              <w:rPr>
                <w:rFonts w:cs="Arial"/>
                <w:iCs/>
              </w:rPr>
            </w:pPr>
            <w:r>
              <w:rPr>
                <w:rFonts w:cs="Arial"/>
                <w:iCs/>
              </w:rPr>
              <w:t>There are no laws against</w:t>
            </w:r>
            <w:r w:rsidR="00BC42AC">
              <w:rPr>
                <w:rFonts w:cs="Arial"/>
                <w:iCs/>
              </w:rPr>
              <w:t xml:space="preserve"> forced evictions. However, case law establishes:</w:t>
            </w:r>
          </w:p>
          <w:p w:rsidR="00D6687B" w:rsidRDefault="00D6687B" w:rsidP="002D47F2">
            <w:pPr>
              <w:pStyle w:val="ListParagraph"/>
              <w:numPr>
                <w:ilvl w:val="0"/>
                <w:numId w:val="11"/>
              </w:numPr>
              <w:spacing w:line="276" w:lineRule="auto"/>
            </w:pPr>
            <w:r>
              <w:t>a landowner cannot evict a licensee if they have promised, or induced the licensee to believe, they would be able to use the land for a certain period;</w:t>
            </w:r>
          </w:p>
          <w:p w:rsidR="00700930" w:rsidRDefault="00BC42AC" w:rsidP="002D47F2">
            <w:pPr>
              <w:pStyle w:val="ListParagraph"/>
              <w:numPr>
                <w:ilvl w:val="0"/>
                <w:numId w:val="11"/>
              </w:numPr>
              <w:spacing w:line="276" w:lineRule="auto"/>
            </w:pPr>
            <w:r w:rsidRPr="007A1DA0">
              <w:t xml:space="preserve">a landowner cannot evict a squatter who has </w:t>
            </w:r>
            <w:r w:rsidR="00D6687B">
              <w:t xml:space="preserve">unlawfully </w:t>
            </w:r>
            <w:r w:rsidRPr="007A1DA0">
              <w:t>resided on their land for a period of 10 years or more</w:t>
            </w:r>
            <w:r>
              <w:t>;</w:t>
            </w:r>
          </w:p>
          <w:p w:rsidR="00BC42AC" w:rsidRPr="007A1DA0" w:rsidRDefault="00BC42AC" w:rsidP="002D47F2">
            <w:pPr>
              <w:pStyle w:val="ListParagraph"/>
              <w:numPr>
                <w:ilvl w:val="0"/>
                <w:numId w:val="11"/>
              </w:numPr>
              <w:spacing w:line="276" w:lineRule="auto"/>
            </w:pPr>
            <w:proofErr w:type="gramStart"/>
            <w:r>
              <w:t>the</w:t>
            </w:r>
            <w:proofErr w:type="gramEnd"/>
            <w:r>
              <w:t xml:space="preserve"> Government is required to give consideration to the interests of squatters before granting </w:t>
            </w:r>
            <w:r w:rsidR="00D6687B">
              <w:t>leases or other interests over Crown</w:t>
            </w:r>
            <w:r>
              <w:t xml:space="preserve"> land.</w:t>
            </w:r>
          </w:p>
        </w:tc>
      </w:tr>
      <w:tr w:rsidR="007A1DA0" w:rsidRPr="007A1DA0" w:rsidTr="008168BF">
        <w:tc>
          <w:tcPr>
            <w:tcW w:w="1560" w:type="dxa"/>
            <w:shd w:val="clear" w:color="auto" w:fill="auto"/>
          </w:tcPr>
          <w:p w:rsidR="007A1DA0" w:rsidRPr="00D300EC" w:rsidRDefault="00E90975" w:rsidP="00D300EC">
            <w:pPr>
              <w:spacing w:line="276" w:lineRule="auto"/>
              <w:rPr>
                <w:rStyle w:val="Hyperlink"/>
              </w:rPr>
            </w:pPr>
            <w:hyperlink w:anchor="Expropriation" w:history="1">
              <w:r w:rsidR="007A1DA0" w:rsidRPr="00980219">
                <w:rPr>
                  <w:rStyle w:val="Hyperlink"/>
                </w:rPr>
                <w:t>Expropriation</w:t>
              </w:r>
            </w:hyperlink>
          </w:p>
        </w:tc>
        <w:tc>
          <w:tcPr>
            <w:tcW w:w="7904" w:type="dxa"/>
            <w:shd w:val="clear" w:color="auto" w:fill="auto"/>
          </w:tcPr>
          <w:p w:rsidR="003D72A3" w:rsidRDefault="00700930" w:rsidP="003D72A3">
            <w:pPr>
              <w:spacing w:line="276" w:lineRule="auto"/>
            </w:pPr>
            <w:r>
              <w:t xml:space="preserve">The Land Act </w:t>
            </w:r>
            <w:r w:rsidR="00704738">
              <w:t>allows</w:t>
            </w:r>
            <w:r>
              <w:t xml:space="preserve"> the </w:t>
            </w:r>
            <w:r w:rsidR="003D72A3">
              <w:t>Government</w:t>
            </w:r>
            <w:r>
              <w:t xml:space="preserve"> to acquire land for public purposes.</w:t>
            </w:r>
            <w:r w:rsidR="003D72A3">
              <w:t xml:space="preserve"> The Government must compensate a landowner for their land, buildings and any crops.</w:t>
            </w:r>
          </w:p>
          <w:p w:rsidR="007A1DA0" w:rsidRPr="007A1DA0" w:rsidRDefault="000B7865" w:rsidP="003D72A3">
            <w:pPr>
              <w:spacing w:line="276" w:lineRule="auto"/>
            </w:pPr>
            <w:r>
              <w:t>Land acquisition may be a long process and i</w:t>
            </w:r>
            <w:r w:rsidR="00704738">
              <w:t>s not practical</w:t>
            </w:r>
            <w:r>
              <w:t xml:space="preserve"> in the context of a disaster or cris</w:t>
            </w:r>
            <w:r w:rsidR="00D6687B">
              <w:t>i</w:t>
            </w:r>
            <w:r>
              <w:t xml:space="preserve">s. The </w:t>
            </w:r>
            <w:r w:rsidR="00700930">
              <w:t xml:space="preserve">Crown must provide a landholder 30 days' notice and the landholder has a right </w:t>
            </w:r>
            <w:r>
              <w:t>to</w:t>
            </w:r>
            <w:r w:rsidR="00700930">
              <w:t xml:space="preserve"> appeal</w:t>
            </w:r>
            <w:r>
              <w:t xml:space="preserve"> in Court.</w:t>
            </w:r>
          </w:p>
        </w:tc>
      </w:tr>
      <w:tr w:rsidR="007A1DA0" w:rsidRPr="007A1DA0" w:rsidTr="008168BF">
        <w:tc>
          <w:tcPr>
            <w:tcW w:w="1560" w:type="dxa"/>
            <w:shd w:val="clear" w:color="auto" w:fill="auto"/>
          </w:tcPr>
          <w:p w:rsidR="007A1DA0" w:rsidRPr="00D300EC" w:rsidRDefault="00E90975" w:rsidP="00D300EC">
            <w:pPr>
              <w:spacing w:line="276" w:lineRule="auto"/>
              <w:rPr>
                <w:rStyle w:val="Hyperlink"/>
              </w:rPr>
            </w:pPr>
            <w:hyperlink w:anchor="Relocation" w:history="1">
              <w:r w:rsidR="007A1DA0" w:rsidRPr="00980219">
                <w:rPr>
                  <w:rStyle w:val="Hyperlink"/>
                </w:rPr>
                <w:t>Relocation</w:t>
              </w:r>
            </w:hyperlink>
          </w:p>
        </w:tc>
        <w:tc>
          <w:tcPr>
            <w:tcW w:w="7904" w:type="dxa"/>
            <w:shd w:val="clear" w:color="auto" w:fill="auto"/>
          </w:tcPr>
          <w:p w:rsidR="00212E62" w:rsidRDefault="000B7865" w:rsidP="00704738">
            <w:pPr>
              <w:spacing w:line="276" w:lineRule="auto"/>
            </w:pPr>
            <w:r>
              <w:t xml:space="preserve">There are no laws governing relocations. The principles governing relocations are developed on a case-by-case basis in </w:t>
            </w:r>
            <w:r w:rsidR="000B22A4">
              <w:t>conjunction with donor/</w:t>
            </w:r>
            <w:r>
              <w:t>funding agencies.</w:t>
            </w:r>
          </w:p>
          <w:p w:rsidR="007A1DA0" w:rsidRPr="007A1DA0" w:rsidRDefault="000B7865" w:rsidP="00D6687B">
            <w:pPr>
              <w:spacing w:line="276" w:lineRule="auto"/>
            </w:pPr>
            <w:r>
              <w:t>For example, in response to Tropical Cyclone Ian in January 2014, the Tongan Government developed a '</w:t>
            </w:r>
            <w:r w:rsidRPr="0049316B">
              <w:t>Resettlement Policy Framework</w:t>
            </w:r>
            <w:r>
              <w:t xml:space="preserve">' </w:t>
            </w:r>
            <w:r w:rsidR="00D6687B">
              <w:t xml:space="preserve">which was consistent with the </w:t>
            </w:r>
            <w:r>
              <w:t>World Bank's principles on involuntary settlement.</w:t>
            </w:r>
          </w:p>
        </w:tc>
      </w:tr>
    </w:tbl>
    <w:p w:rsidR="00E836FA" w:rsidRDefault="00E836FA" w:rsidP="005F4174">
      <w:pPr>
        <w:pStyle w:val="AllensHeading1"/>
        <w:numPr>
          <w:ilvl w:val="0"/>
          <w:numId w:val="0"/>
        </w:numPr>
        <w:ind w:left="709" w:hanging="709"/>
      </w:pPr>
    </w:p>
    <w:p w:rsidR="00E836FA" w:rsidRDefault="00E836FA" w:rsidP="00E836FA">
      <w:pPr>
        <w:rPr>
          <w:sz w:val="22"/>
        </w:rPr>
      </w:pPr>
      <w:r>
        <w:br w:type="page"/>
      </w:r>
    </w:p>
    <w:p w:rsidR="00212E62" w:rsidRPr="00F8319F" w:rsidRDefault="00F8319F" w:rsidP="00707ED0">
      <w:pPr>
        <w:rPr>
          <w:b/>
          <w:sz w:val="22"/>
          <w:szCs w:val="22"/>
        </w:rPr>
      </w:pPr>
      <w:bookmarkStart w:id="29" w:name="_Toc512952864"/>
      <w:bookmarkStart w:id="30" w:name="_Toc512953138"/>
      <w:r>
        <w:rPr>
          <w:b/>
          <w:sz w:val="22"/>
          <w:szCs w:val="22"/>
        </w:rPr>
        <w:lastRenderedPageBreak/>
        <w:t>5</w:t>
      </w:r>
      <w:r>
        <w:rPr>
          <w:b/>
          <w:sz w:val="22"/>
          <w:szCs w:val="22"/>
        </w:rPr>
        <w:tab/>
      </w:r>
      <w:bookmarkStart w:id="31" w:name="Section5"/>
      <w:bookmarkEnd w:id="31"/>
      <w:r w:rsidR="00E836FA" w:rsidRPr="00F8319F">
        <w:rPr>
          <w:b/>
          <w:sz w:val="22"/>
          <w:szCs w:val="22"/>
        </w:rPr>
        <w:t>Shelter Cluster Key Contacts</w:t>
      </w:r>
      <w:bookmarkEnd w:id="29"/>
      <w:bookmarkEnd w:id="30"/>
    </w:p>
    <w:tbl>
      <w:tblPr>
        <w:tblStyle w:val="TableGrid"/>
        <w:tblW w:w="0" w:type="auto"/>
        <w:tblInd w:w="108" w:type="dxa"/>
        <w:tblLook w:val="04A0" w:firstRow="1" w:lastRow="0" w:firstColumn="1" w:lastColumn="0" w:noHBand="0" w:noVBand="1"/>
      </w:tblPr>
      <w:tblGrid>
        <w:gridCol w:w="9464"/>
      </w:tblGrid>
      <w:tr w:rsidR="00E836FA" w:rsidRPr="007A1DA0" w:rsidTr="0068005A">
        <w:trPr>
          <w:trHeight w:val="4008"/>
        </w:trPr>
        <w:tc>
          <w:tcPr>
            <w:tcW w:w="9464" w:type="dxa"/>
            <w:tcBorders>
              <w:bottom w:val="single" w:sz="4" w:space="0" w:color="auto"/>
            </w:tcBorders>
            <w:shd w:val="clear" w:color="auto" w:fill="auto"/>
          </w:tcPr>
          <w:p w:rsidR="00E836FA" w:rsidRPr="00E836FA" w:rsidRDefault="00E836FA" w:rsidP="00E836FA">
            <w:pPr>
              <w:rPr>
                <w:rFonts w:cs="Arial"/>
              </w:rPr>
            </w:pPr>
            <w:r w:rsidRPr="000D76B3">
              <w:rPr>
                <w:rFonts w:cs="Arial"/>
                <w:b/>
              </w:rPr>
              <w:t>Kelela Tonga / Fotu Veikune</w:t>
            </w:r>
            <w:r>
              <w:rPr>
                <w:rFonts w:cs="Arial"/>
              </w:rPr>
              <w:br/>
            </w:r>
            <w:r w:rsidRPr="00B45DA2">
              <w:rPr>
                <w:rFonts w:cs="Arial"/>
              </w:rPr>
              <w:t>Reconstruction Cluster</w:t>
            </w:r>
            <w:r>
              <w:rPr>
                <w:rFonts w:cs="Arial"/>
              </w:rPr>
              <w:t xml:space="preserve">, </w:t>
            </w:r>
            <w:r w:rsidRPr="00B45DA2">
              <w:rPr>
                <w:rFonts w:cs="Arial"/>
              </w:rPr>
              <w:t>Ministry of Infrastructure</w:t>
            </w:r>
            <w:r>
              <w:rPr>
                <w:rFonts w:cs="Arial"/>
              </w:rPr>
              <w:t xml:space="preserve"> (MOI)</w:t>
            </w:r>
            <w:r>
              <w:rPr>
                <w:rFonts w:cs="Arial"/>
              </w:rPr>
              <w:br/>
            </w:r>
            <w:hyperlink r:id="rId14" w:history="1">
              <w:r w:rsidRPr="007B7921">
                <w:rPr>
                  <w:rStyle w:val="Hyperlink"/>
                  <w:rFonts w:cs="Arial"/>
                </w:rPr>
                <w:t>ktonga@infrastructure.gov.to</w:t>
              </w:r>
            </w:hyperlink>
            <w:r>
              <w:rPr>
                <w:rFonts w:cs="Arial"/>
              </w:rPr>
              <w:t xml:space="preserve"> / </w:t>
            </w:r>
            <w:hyperlink r:id="rId15" w:history="1">
              <w:r w:rsidRPr="00FA6867">
                <w:rPr>
                  <w:rStyle w:val="Hyperlink"/>
                  <w:rFonts w:cs="Arial"/>
                </w:rPr>
                <w:t>mfotuvei@gmail.com</w:t>
              </w:r>
            </w:hyperlink>
          </w:p>
          <w:p w:rsidR="00E836FA" w:rsidRPr="00E836FA" w:rsidRDefault="00E836FA" w:rsidP="00E836FA">
            <w:pPr>
              <w:shd w:val="clear" w:color="auto" w:fill="FFFFFF"/>
              <w:spacing w:line="240" w:lineRule="auto"/>
              <w:rPr>
                <w:rFonts w:cs="Arial"/>
                <w:b/>
                <w:bCs/>
                <w:lang w:val="fr-FR" w:eastAsia="en-GB"/>
              </w:rPr>
            </w:pPr>
            <w:r w:rsidRPr="00B45DA2">
              <w:rPr>
                <w:rFonts w:cs="Arial"/>
                <w:b/>
                <w:bCs/>
                <w:lang w:val="fr-FR" w:eastAsia="en-GB"/>
              </w:rPr>
              <w:t>Leveni Aho</w:t>
            </w:r>
            <w:r>
              <w:rPr>
                <w:rFonts w:cs="Arial"/>
                <w:b/>
                <w:bCs/>
                <w:lang w:val="fr-FR" w:eastAsia="en-GB"/>
              </w:rPr>
              <w:br/>
            </w:r>
            <w:r w:rsidRPr="00B45DA2">
              <w:rPr>
                <w:rFonts w:cs="Arial"/>
                <w:shd w:val="clear" w:color="auto" w:fill="FFFFFF"/>
                <w:lang w:eastAsia="en-GB"/>
              </w:rPr>
              <w:t>Shelter Cluster Lead</w:t>
            </w:r>
            <w:r>
              <w:rPr>
                <w:rFonts w:ascii="Times New Roman" w:hAnsi="Times New Roman"/>
                <w:sz w:val="24"/>
                <w:szCs w:val="24"/>
                <w:lang w:eastAsia="en-GB"/>
              </w:rPr>
              <w:t xml:space="preserve">, </w:t>
            </w:r>
            <w:r w:rsidRPr="00B45DA2">
              <w:rPr>
                <w:rFonts w:cs="Arial"/>
                <w:lang w:eastAsia="en-GB"/>
              </w:rPr>
              <w:t>National Emergency Management Office (NEMO</w:t>
            </w:r>
            <w:proofErr w:type="gramStart"/>
            <w:r w:rsidRPr="00B45DA2">
              <w:rPr>
                <w:rFonts w:cs="Arial"/>
                <w:lang w:eastAsia="en-GB"/>
              </w:rPr>
              <w:t>)</w:t>
            </w:r>
            <w:proofErr w:type="gramEnd"/>
            <w:r>
              <w:rPr>
                <w:rFonts w:cs="Arial"/>
                <w:b/>
                <w:bCs/>
                <w:lang w:val="fr-FR" w:eastAsia="en-GB"/>
              </w:rPr>
              <w:br/>
            </w:r>
            <w:hyperlink r:id="rId16" w:history="1">
              <w:r w:rsidRPr="00B45DA2">
                <w:rPr>
                  <w:rFonts w:cs="Arial"/>
                  <w:u w:val="single"/>
                  <w:shd w:val="clear" w:color="auto" w:fill="FFFFFF"/>
                  <w:lang w:eastAsia="en-GB"/>
                </w:rPr>
                <w:t>+676 8752500</w:t>
              </w:r>
            </w:hyperlink>
            <w:r>
              <w:rPr>
                <w:rFonts w:ascii="Times New Roman" w:hAnsi="Times New Roman"/>
                <w:sz w:val="24"/>
                <w:szCs w:val="24"/>
                <w:lang w:eastAsia="en-GB"/>
              </w:rPr>
              <w:t xml:space="preserve"> </w:t>
            </w:r>
            <w:hyperlink r:id="rId17" w:history="1">
              <w:r w:rsidRPr="00FA6867">
                <w:rPr>
                  <w:rStyle w:val="Hyperlink"/>
                  <w:rFonts w:cs="Arial"/>
                  <w:lang w:eastAsia="en-GB"/>
                </w:rPr>
                <w:t>levenih5@gmail.com</w:t>
              </w:r>
            </w:hyperlink>
          </w:p>
          <w:p w:rsidR="00E836FA" w:rsidRPr="00E836FA" w:rsidRDefault="00E836FA" w:rsidP="00E836FA">
            <w:pPr>
              <w:shd w:val="clear" w:color="auto" w:fill="FFFFFF"/>
              <w:spacing w:line="240" w:lineRule="auto"/>
              <w:rPr>
                <w:rFonts w:cs="Arial"/>
                <w:b/>
                <w:bCs/>
                <w:lang w:eastAsia="en-GB"/>
              </w:rPr>
            </w:pPr>
            <w:r w:rsidRPr="00B45DA2">
              <w:rPr>
                <w:rFonts w:cs="Arial"/>
                <w:b/>
                <w:bCs/>
                <w:lang w:eastAsia="en-GB"/>
              </w:rPr>
              <w:br/>
              <w:t>Carrie Vaea</w:t>
            </w:r>
            <w:r>
              <w:rPr>
                <w:rFonts w:cs="Arial"/>
                <w:b/>
                <w:bCs/>
                <w:lang w:eastAsia="en-GB"/>
              </w:rPr>
              <w:br/>
            </w:r>
            <w:r w:rsidRPr="00B45DA2">
              <w:rPr>
                <w:rFonts w:cs="Arial"/>
                <w:shd w:val="clear" w:color="auto" w:fill="FFFFFF"/>
                <w:lang w:eastAsia="en-GB"/>
              </w:rPr>
              <w:t>Shelter Cluster Coordinator</w:t>
            </w:r>
            <w:r>
              <w:rPr>
                <w:rFonts w:ascii="Times New Roman" w:hAnsi="Times New Roman"/>
                <w:sz w:val="24"/>
                <w:szCs w:val="24"/>
                <w:lang w:eastAsia="en-GB"/>
              </w:rPr>
              <w:t xml:space="preserve">, </w:t>
            </w:r>
            <w:r w:rsidRPr="00B45DA2">
              <w:rPr>
                <w:rFonts w:cs="Arial"/>
                <w:lang w:eastAsia="en-GB"/>
              </w:rPr>
              <w:t>National Emergency Management Office (NEMO)</w:t>
            </w:r>
            <w:r>
              <w:rPr>
                <w:rFonts w:cs="Arial"/>
                <w:b/>
                <w:bCs/>
                <w:lang w:eastAsia="en-GB"/>
              </w:rPr>
              <w:br/>
            </w:r>
            <w:hyperlink r:id="rId18" w:history="1">
              <w:r w:rsidRPr="00B45DA2">
                <w:rPr>
                  <w:rFonts w:cs="Arial"/>
                  <w:u w:val="single"/>
                  <w:shd w:val="clear" w:color="auto" w:fill="FFFFFF"/>
                  <w:lang w:eastAsia="en-GB"/>
                </w:rPr>
                <w:t>+676 8869070</w:t>
              </w:r>
            </w:hyperlink>
            <w:r>
              <w:rPr>
                <w:rFonts w:ascii="Times New Roman" w:hAnsi="Times New Roman"/>
                <w:sz w:val="24"/>
                <w:szCs w:val="24"/>
                <w:lang w:eastAsia="en-GB"/>
              </w:rPr>
              <w:t xml:space="preserve"> </w:t>
            </w:r>
            <w:hyperlink r:id="rId19" w:history="1">
              <w:r w:rsidRPr="00FA6867">
                <w:rPr>
                  <w:rStyle w:val="Hyperlink"/>
                  <w:rFonts w:cs="Arial"/>
                  <w:lang w:eastAsia="en-GB"/>
                </w:rPr>
                <w:t>carreylvaea@gmail.com</w:t>
              </w:r>
            </w:hyperlink>
          </w:p>
          <w:p w:rsidR="00E836FA" w:rsidRPr="00B45DA2" w:rsidRDefault="00E836FA" w:rsidP="00E836FA">
            <w:pPr>
              <w:shd w:val="clear" w:color="auto" w:fill="FFFFFF"/>
              <w:spacing w:line="240" w:lineRule="auto"/>
              <w:rPr>
                <w:rFonts w:cs="Arial"/>
                <w:lang w:eastAsia="en-GB"/>
              </w:rPr>
            </w:pPr>
          </w:p>
          <w:p w:rsidR="00E836FA" w:rsidRPr="00E836FA" w:rsidRDefault="00E836FA" w:rsidP="00E836FA">
            <w:pPr>
              <w:shd w:val="clear" w:color="auto" w:fill="FFFFFF"/>
              <w:spacing w:line="240" w:lineRule="auto"/>
              <w:rPr>
                <w:rFonts w:cs="Arial"/>
                <w:b/>
                <w:bCs/>
                <w:lang w:eastAsia="en-GB"/>
              </w:rPr>
            </w:pPr>
            <w:r w:rsidRPr="00B45DA2">
              <w:rPr>
                <w:rFonts w:cs="Arial"/>
                <w:b/>
                <w:bCs/>
                <w:lang w:eastAsia="en-GB"/>
              </w:rPr>
              <w:t>Robert Dodds / Subesh Prasad</w:t>
            </w:r>
            <w:r>
              <w:rPr>
                <w:rFonts w:cs="Arial"/>
                <w:b/>
                <w:bCs/>
                <w:lang w:eastAsia="en-GB"/>
              </w:rPr>
              <w:br/>
            </w:r>
            <w:r w:rsidRPr="00B45DA2">
              <w:rPr>
                <w:rFonts w:cs="Arial"/>
                <w:shd w:val="clear" w:color="auto" w:fill="FFFFFF"/>
                <w:lang w:eastAsia="en-GB"/>
              </w:rPr>
              <w:t>Shelter Cluster support team</w:t>
            </w:r>
            <w:r>
              <w:rPr>
                <w:rFonts w:ascii="Times New Roman" w:hAnsi="Times New Roman"/>
                <w:sz w:val="24"/>
                <w:szCs w:val="24"/>
                <w:lang w:eastAsia="en-GB"/>
              </w:rPr>
              <w:t xml:space="preserve">, </w:t>
            </w:r>
            <w:r w:rsidRPr="00B45DA2">
              <w:rPr>
                <w:rFonts w:cs="Arial"/>
                <w:lang w:eastAsia="en-GB"/>
              </w:rPr>
              <w:t>International Federation of Red Cross and Red Crescent Societies (IFRC)</w:t>
            </w:r>
            <w:r>
              <w:rPr>
                <w:rFonts w:cs="Arial"/>
                <w:b/>
                <w:bCs/>
                <w:lang w:eastAsia="en-GB"/>
              </w:rPr>
              <w:br/>
            </w:r>
            <w:hyperlink r:id="rId20" w:history="1">
              <w:r w:rsidRPr="00B45DA2">
                <w:rPr>
                  <w:rFonts w:cs="Arial"/>
                  <w:u w:val="single"/>
                  <w:shd w:val="clear" w:color="auto" w:fill="FFFFFF"/>
                  <w:lang w:eastAsia="en-GB"/>
                </w:rPr>
                <w:t>+679 9980173</w:t>
              </w:r>
            </w:hyperlink>
            <w:r w:rsidRPr="00B45DA2">
              <w:rPr>
                <w:rFonts w:ascii="Times New Roman" w:hAnsi="Times New Roman"/>
                <w:sz w:val="24"/>
                <w:szCs w:val="24"/>
                <w:lang w:eastAsia="en-GB"/>
              </w:rPr>
              <w:t xml:space="preserve"> / </w:t>
            </w:r>
            <w:hyperlink r:id="rId21" w:history="1">
              <w:r w:rsidRPr="00B45DA2">
                <w:rPr>
                  <w:rFonts w:cs="Arial"/>
                  <w:u w:val="single"/>
                  <w:shd w:val="clear" w:color="auto" w:fill="FFFFFF"/>
                  <w:lang w:eastAsia="en-GB"/>
                </w:rPr>
                <w:t>+679 9990185</w:t>
              </w:r>
            </w:hyperlink>
            <w:r>
              <w:rPr>
                <w:rFonts w:ascii="Times New Roman" w:hAnsi="Times New Roman"/>
                <w:sz w:val="24"/>
                <w:szCs w:val="24"/>
                <w:lang w:eastAsia="en-GB"/>
              </w:rPr>
              <w:t xml:space="preserve"> </w:t>
            </w:r>
            <w:hyperlink r:id="rId22" w:history="1">
              <w:r w:rsidRPr="00FA6867">
                <w:rPr>
                  <w:rStyle w:val="Hyperlink"/>
                  <w:rFonts w:cs="Arial"/>
                  <w:lang w:eastAsia="en-GB"/>
                </w:rPr>
                <w:t>coord.pacific@sheltercluster.org</w:t>
              </w:r>
            </w:hyperlink>
          </w:p>
          <w:p w:rsidR="00E836FA" w:rsidRPr="00A921DA" w:rsidRDefault="00E836FA" w:rsidP="00E273DA"/>
        </w:tc>
      </w:tr>
    </w:tbl>
    <w:p w:rsidR="00D176F0" w:rsidRDefault="00D176F0" w:rsidP="00531B6F">
      <w:pPr>
        <w:jc w:val="both"/>
        <w:rPr>
          <w:rFonts w:cs="Arial"/>
          <w:b/>
        </w:rPr>
        <w:sectPr w:rsidR="00D176F0" w:rsidSect="00BD4E32">
          <w:headerReference w:type="default" r:id="rId23"/>
          <w:headerReference w:type="first" r:id="rId24"/>
          <w:footerReference w:type="first" r:id="rId25"/>
          <w:pgSz w:w="11907" w:h="16839"/>
          <w:pgMar w:top="1701" w:right="1134" w:bottom="1134" w:left="1417" w:header="708" w:footer="680" w:gutter="0"/>
          <w:cols w:space="708"/>
          <w:docGrid w:linePitch="360"/>
        </w:sectPr>
      </w:pPr>
    </w:p>
    <w:sdt>
      <w:sdtPr>
        <w:rPr>
          <w:rFonts w:cs="Arial"/>
          <w:lang w:eastAsia="en-US"/>
        </w:rPr>
        <w:id w:val="-1644417265"/>
        <w:docPartObj>
          <w:docPartGallery w:val="Cover Pages"/>
          <w:docPartUnique/>
        </w:docPartObj>
      </w:sdtPr>
      <w:sdtEndPr>
        <w:rPr>
          <w:lang w:eastAsia="en-AU"/>
        </w:rPr>
      </w:sdtEndPr>
      <w:sdtContent>
        <w:tbl>
          <w:tblPr>
            <w:tblW w:w="0" w:type="auto"/>
            <w:jc w:val="right"/>
            <w:tblLayout w:type="fixed"/>
            <w:tblCellMar>
              <w:left w:w="0" w:type="dxa"/>
              <w:right w:w="0" w:type="dxa"/>
            </w:tblCellMar>
            <w:tblLook w:val="0000" w:firstRow="0" w:lastRow="0" w:firstColumn="0" w:lastColumn="0" w:noHBand="0" w:noVBand="0"/>
          </w:tblPr>
          <w:tblGrid>
            <w:gridCol w:w="9072"/>
          </w:tblGrid>
          <w:tr w:rsidR="002D47F2" w:rsidRPr="00535EDE" w:rsidTr="00E273DA">
            <w:trPr>
              <w:trHeight w:hRule="exact" w:val="3538"/>
              <w:jc w:val="right"/>
            </w:trPr>
            <w:tc>
              <w:tcPr>
                <w:tcW w:w="9072" w:type="dxa"/>
                <w:shd w:val="solid" w:color="FFFFFF" w:fill="FFFFFF"/>
                <w:vAlign w:val="bottom"/>
              </w:tcPr>
              <w:p w:rsidR="002D47F2" w:rsidRPr="00535EDE" w:rsidRDefault="002D47F2" w:rsidP="00E273DA">
                <w:pPr>
                  <w:spacing w:before="120" w:line="312" w:lineRule="auto"/>
                  <w:jc w:val="center"/>
                  <w:rPr>
                    <w:rFonts w:cs="Arial"/>
                    <w:lang w:eastAsia="en-US"/>
                  </w:rPr>
                </w:pPr>
              </w:p>
            </w:tc>
          </w:tr>
          <w:tr w:rsidR="002D47F2" w:rsidRPr="00535EDE" w:rsidTr="00E273DA">
            <w:trPr>
              <w:trHeight w:hRule="exact" w:val="3556"/>
              <w:jc w:val="right"/>
            </w:trPr>
            <w:tc>
              <w:tcPr>
                <w:tcW w:w="9072" w:type="dxa"/>
                <w:vAlign w:val="bottom"/>
              </w:tcPr>
              <w:p w:rsidR="002D47F2" w:rsidRDefault="002D47F2" w:rsidP="00E273DA">
                <w:pPr>
                  <w:pStyle w:val="Title"/>
                  <w:jc w:val="center"/>
                  <w:rPr>
                    <w:b/>
                    <w:bCs/>
                  </w:rPr>
                </w:pPr>
                <w:bookmarkStart w:id="33" w:name="AgreementTitle"/>
              </w:p>
              <w:p w:rsidR="002D47F2" w:rsidRDefault="002D47F2" w:rsidP="00E273DA">
                <w:pPr>
                  <w:pStyle w:val="Title"/>
                  <w:jc w:val="center"/>
                  <w:rPr>
                    <w:b/>
                    <w:bCs/>
                  </w:rPr>
                </w:pPr>
                <w:r>
                  <w:rPr>
                    <w:b/>
                    <w:bCs/>
                  </w:rPr>
                  <w:t>Disaster Law Housing, Land and</w:t>
                </w:r>
              </w:p>
              <w:p w:rsidR="002D47F2" w:rsidRDefault="002D47F2" w:rsidP="00E273DA">
                <w:pPr>
                  <w:pStyle w:val="Title"/>
                  <w:jc w:val="center"/>
                  <w:rPr>
                    <w:b/>
                    <w:bCs/>
                  </w:rPr>
                </w:pPr>
                <w:r w:rsidRPr="00F92C8D">
                  <w:rPr>
                    <w:b/>
                    <w:bCs/>
                  </w:rPr>
                  <w:t>Property Mapping Project</w:t>
                </w:r>
              </w:p>
              <w:p w:rsidR="002D47F2" w:rsidRPr="005D6E30" w:rsidRDefault="002D47F2" w:rsidP="00E273DA">
                <w:pPr>
                  <w:pStyle w:val="Title"/>
                  <w:jc w:val="center"/>
                  <w:rPr>
                    <w:b/>
                    <w:bCs/>
                  </w:rPr>
                </w:pPr>
              </w:p>
              <w:p w:rsidR="002D47F2" w:rsidRDefault="002D47F2" w:rsidP="00E273DA">
                <w:pPr>
                  <w:pStyle w:val="Title"/>
                  <w:jc w:val="center"/>
                </w:pPr>
                <w:r w:rsidRPr="005D6E30">
                  <w:t>Tonga</w:t>
                </w:r>
              </w:p>
              <w:bookmarkEnd w:id="33"/>
              <w:p w:rsidR="002D47F2" w:rsidRPr="00535EDE" w:rsidRDefault="002D47F2" w:rsidP="00E273DA">
                <w:pPr>
                  <w:pStyle w:val="Title"/>
                  <w:keepNext w:val="0"/>
                  <w:spacing w:before="100" w:after="0" w:line="312" w:lineRule="auto"/>
                  <w:jc w:val="center"/>
                  <w:rPr>
                    <w:sz w:val="20"/>
                    <w:szCs w:val="32"/>
                  </w:rPr>
                </w:pPr>
              </w:p>
            </w:tc>
          </w:tr>
          <w:tr w:rsidR="002D47F2" w:rsidRPr="00535EDE" w:rsidTr="00E273DA">
            <w:trPr>
              <w:trHeight w:val="1559"/>
              <w:jc w:val="right"/>
            </w:trPr>
            <w:tc>
              <w:tcPr>
                <w:tcW w:w="9072" w:type="dxa"/>
              </w:tcPr>
              <w:p w:rsidR="002D47F2" w:rsidRPr="00535EDE" w:rsidRDefault="002D47F2" w:rsidP="00E273DA">
                <w:pPr>
                  <w:spacing w:line="312" w:lineRule="auto"/>
                  <w:jc w:val="center"/>
                  <w:rPr>
                    <w:rFonts w:cs="Arial"/>
                    <w:lang w:eastAsia="en-US"/>
                  </w:rPr>
                </w:pPr>
              </w:p>
            </w:tc>
          </w:tr>
          <w:tr w:rsidR="002D47F2" w:rsidRPr="00535EDE" w:rsidTr="00E273DA">
            <w:trPr>
              <w:trHeight w:val="3674"/>
              <w:jc w:val="right"/>
            </w:trPr>
            <w:tc>
              <w:tcPr>
                <w:tcW w:w="9072" w:type="dxa"/>
                <w:vAlign w:val="bottom"/>
              </w:tcPr>
              <w:p w:rsidR="002D47F2" w:rsidRPr="00535EDE" w:rsidRDefault="00E90975" w:rsidP="00E273DA">
                <w:pPr>
                  <w:pStyle w:val="BodyText"/>
                  <w:tabs>
                    <w:tab w:val="right" w:pos="7938"/>
                  </w:tabs>
                  <w:spacing w:before="120"/>
                  <w:ind w:left="709" w:hanging="709"/>
                  <w:rPr>
                    <w:rFonts w:cs="Arial"/>
                    <w:b/>
                    <w:noProof/>
                    <w:sz w:val="12"/>
                  </w:rPr>
                </w:pPr>
              </w:p>
            </w:tc>
          </w:tr>
        </w:tbl>
      </w:sdtContent>
    </w:sdt>
    <w:p w:rsidR="00D176F0" w:rsidRDefault="00D176F0" w:rsidP="00D176F0">
      <w:r>
        <w:br w:type="page"/>
      </w:r>
    </w:p>
    <w:sdt>
      <w:sdtPr>
        <w:rPr>
          <w:b w:val="0"/>
          <w:sz w:val="20"/>
        </w:rPr>
        <w:id w:val="1908348336"/>
        <w:docPartObj>
          <w:docPartGallery w:val="Table of Contents"/>
          <w:docPartUnique/>
        </w:docPartObj>
      </w:sdtPr>
      <w:sdtEndPr>
        <w:rPr>
          <w:noProof/>
        </w:rPr>
      </w:sdtEndPr>
      <w:sdtContent>
        <w:p w:rsidR="008665B8" w:rsidRDefault="008665B8" w:rsidP="00E273DA">
          <w:pPr>
            <w:pStyle w:val="ContentsHeading"/>
            <w:rPr>
              <w:b w:val="0"/>
              <w:sz w:val="20"/>
            </w:rPr>
          </w:pPr>
        </w:p>
        <w:p w:rsidR="002D47F2" w:rsidRPr="00C53540" w:rsidRDefault="002D47F2" w:rsidP="00E273DA">
          <w:pPr>
            <w:pStyle w:val="ContentsHeading"/>
          </w:pPr>
          <w:r w:rsidRPr="00C53540">
            <w:t>Contents</w:t>
          </w:r>
        </w:p>
        <w:p w:rsidR="00961367" w:rsidRDefault="002D47F2">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\t "Schedule 1,1" </w:instrText>
          </w:r>
          <w:r>
            <w:rPr>
              <w:b w:val="0"/>
            </w:rPr>
            <w:fldChar w:fldCharType="separate"/>
          </w:r>
          <w:hyperlink w:anchor="_Toc513117789" w:history="1">
            <w:r w:rsidR="00961367" w:rsidRPr="00291DEF">
              <w:rPr>
                <w:rStyle w:val="Hyperlink"/>
              </w:rPr>
              <w:t>1</w:t>
            </w:r>
            <w:r w:rsidR="00961367">
              <w:rPr>
                <w:rFonts w:asciiTheme="minorHAnsi" w:eastAsiaTheme="minorEastAsia" w:hAnsiTheme="minorHAnsi" w:cstheme="minorBidi"/>
                <w:b w:val="0"/>
                <w:sz w:val="22"/>
                <w:szCs w:val="22"/>
                <w:lang w:eastAsia="en-AU"/>
              </w:rPr>
              <w:tab/>
            </w:r>
            <w:r w:rsidR="00961367" w:rsidRPr="00291DEF">
              <w:rPr>
                <w:rStyle w:val="Hyperlink"/>
              </w:rPr>
              <w:t>Introduction</w:t>
            </w:r>
            <w:r w:rsidR="00961367">
              <w:rPr>
                <w:webHidden/>
              </w:rPr>
              <w:tab/>
            </w:r>
            <w:r w:rsidR="00961367">
              <w:rPr>
                <w:webHidden/>
              </w:rPr>
              <w:fldChar w:fldCharType="begin"/>
            </w:r>
            <w:r w:rsidR="00961367">
              <w:rPr>
                <w:webHidden/>
              </w:rPr>
              <w:instrText xml:space="preserve"> PAGEREF _Toc513117789 \h </w:instrText>
            </w:r>
            <w:r w:rsidR="00961367">
              <w:rPr>
                <w:webHidden/>
              </w:rPr>
            </w:r>
            <w:r w:rsidR="00961367">
              <w:rPr>
                <w:webHidden/>
              </w:rPr>
              <w:fldChar w:fldCharType="separate"/>
            </w:r>
            <w:r w:rsidR="00961367">
              <w:rPr>
                <w:webHidden/>
              </w:rPr>
              <w:t>3</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790" w:history="1">
            <w:r w:rsidR="00961367" w:rsidRPr="00291DEF">
              <w:rPr>
                <w:rStyle w:val="Hyperlink"/>
              </w:rPr>
              <w:t>1.1</w:t>
            </w:r>
            <w:r w:rsidR="00961367">
              <w:rPr>
                <w:rFonts w:asciiTheme="minorHAnsi" w:eastAsiaTheme="minorEastAsia" w:hAnsiTheme="minorHAnsi" w:cstheme="minorBidi"/>
                <w:sz w:val="22"/>
                <w:szCs w:val="22"/>
                <w:lang w:eastAsia="en-AU"/>
              </w:rPr>
              <w:tab/>
            </w:r>
            <w:r w:rsidR="00961367" w:rsidRPr="00291DEF">
              <w:rPr>
                <w:rStyle w:val="Hyperlink"/>
              </w:rPr>
              <w:t>Overview</w:t>
            </w:r>
            <w:r w:rsidR="00961367">
              <w:rPr>
                <w:webHidden/>
              </w:rPr>
              <w:tab/>
            </w:r>
            <w:r w:rsidR="00961367">
              <w:rPr>
                <w:webHidden/>
              </w:rPr>
              <w:fldChar w:fldCharType="begin"/>
            </w:r>
            <w:r w:rsidR="00961367">
              <w:rPr>
                <w:webHidden/>
              </w:rPr>
              <w:instrText xml:space="preserve"> PAGEREF _Toc513117790 \h </w:instrText>
            </w:r>
            <w:r w:rsidR="00961367">
              <w:rPr>
                <w:webHidden/>
              </w:rPr>
            </w:r>
            <w:r w:rsidR="00961367">
              <w:rPr>
                <w:webHidden/>
              </w:rPr>
              <w:fldChar w:fldCharType="separate"/>
            </w:r>
            <w:r w:rsidR="00961367">
              <w:rPr>
                <w:webHidden/>
              </w:rPr>
              <w:t>3</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791" w:history="1">
            <w:r w:rsidR="00961367" w:rsidRPr="00291DEF">
              <w:rPr>
                <w:rStyle w:val="Hyperlink"/>
              </w:rPr>
              <w:t>1.2</w:t>
            </w:r>
            <w:r w:rsidR="00961367">
              <w:rPr>
                <w:rFonts w:asciiTheme="minorHAnsi" w:eastAsiaTheme="minorEastAsia" w:hAnsiTheme="minorHAnsi" w:cstheme="minorBidi"/>
                <w:sz w:val="22"/>
                <w:szCs w:val="22"/>
                <w:lang w:eastAsia="en-AU"/>
              </w:rPr>
              <w:tab/>
            </w:r>
            <w:r w:rsidR="00961367" w:rsidRPr="00291DEF">
              <w:rPr>
                <w:rStyle w:val="Hyperlink"/>
              </w:rPr>
              <w:t>Background information on Tonga</w:t>
            </w:r>
            <w:r w:rsidR="00961367">
              <w:rPr>
                <w:webHidden/>
              </w:rPr>
              <w:tab/>
            </w:r>
            <w:r w:rsidR="00961367">
              <w:rPr>
                <w:webHidden/>
              </w:rPr>
              <w:fldChar w:fldCharType="begin"/>
            </w:r>
            <w:r w:rsidR="00961367">
              <w:rPr>
                <w:webHidden/>
              </w:rPr>
              <w:instrText xml:space="preserve"> PAGEREF _Toc513117791 \h </w:instrText>
            </w:r>
            <w:r w:rsidR="00961367">
              <w:rPr>
                <w:webHidden/>
              </w:rPr>
            </w:r>
            <w:r w:rsidR="00961367">
              <w:rPr>
                <w:webHidden/>
              </w:rPr>
              <w:fldChar w:fldCharType="separate"/>
            </w:r>
            <w:r w:rsidR="00961367">
              <w:rPr>
                <w:webHidden/>
              </w:rPr>
              <w:t>3</w:t>
            </w:r>
            <w:r w:rsidR="00961367">
              <w:rPr>
                <w:webHidden/>
              </w:rPr>
              <w:fldChar w:fldCharType="end"/>
            </w:r>
          </w:hyperlink>
        </w:p>
        <w:p w:rsidR="00961367" w:rsidRDefault="00E90975">
          <w:pPr>
            <w:pStyle w:val="TOC1"/>
            <w:rPr>
              <w:rFonts w:asciiTheme="minorHAnsi" w:eastAsiaTheme="minorEastAsia" w:hAnsiTheme="minorHAnsi" w:cstheme="minorBidi"/>
              <w:b w:val="0"/>
              <w:sz w:val="22"/>
              <w:szCs w:val="22"/>
              <w:lang w:eastAsia="en-AU"/>
            </w:rPr>
          </w:pPr>
          <w:hyperlink w:anchor="_Toc513117792" w:history="1">
            <w:r w:rsidR="00961367" w:rsidRPr="00291DEF">
              <w:rPr>
                <w:rStyle w:val="Hyperlink"/>
              </w:rPr>
              <w:t>2</w:t>
            </w:r>
            <w:r w:rsidR="00961367">
              <w:rPr>
                <w:rFonts w:asciiTheme="minorHAnsi" w:eastAsiaTheme="minorEastAsia" w:hAnsiTheme="minorHAnsi" w:cstheme="minorBidi"/>
                <w:b w:val="0"/>
                <w:sz w:val="22"/>
                <w:szCs w:val="22"/>
                <w:lang w:eastAsia="en-AU"/>
              </w:rPr>
              <w:tab/>
            </w:r>
            <w:r w:rsidR="00961367" w:rsidRPr="00291DEF">
              <w:rPr>
                <w:rStyle w:val="Hyperlink"/>
              </w:rPr>
              <w:t>Common types of tenure</w:t>
            </w:r>
            <w:r w:rsidR="00961367">
              <w:rPr>
                <w:webHidden/>
              </w:rPr>
              <w:tab/>
            </w:r>
            <w:r w:rsidR="00961367">
              <w:rPr>
                <w:webHidden/>
              </w:rPr>
              <w:fldChar w:fldCharType="begin"/>
            </w:r>
            <w:r w:rsidR="00961367">
              <w:rPr>
                <w:webHidden/>
              </w:rPr>
              <w:instrText xml:space="preserve"> PAGEREF _Toc513117792 \h </w:instrText>
            </w:r>
            <w:r w:rsidR="00961367">
              <w:rPr>
                <w:webHidden/>
              </w:rPr>
            </w:r>
            <w:r w:rsidR="00961367">
              <w:rPr>
                <w:webHidden/>
              </w:rPr>
              <w:fldChar w:fldCharType="separate"/>
            </w:r>
            <w:r w:rsidR="00961367">
              <w:rPr>
                <w:webHidden/>
              </w:rPr>
              <w:t>4</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793" w:history="1">
            <w:r w:rsidR="00961367" w:rsidRPr="00291DEF">
              <w:rPr>
                <w:rStyle w:val="Hyperlink"/>
              </w:rPr>
              <w:t>2.1</w:t>
            </w:r>
            <w:r w:rsidR="00961367">
              <w:rPr>
                <w:rFonts w:asciiTheme="minorHAnsi" w:eastAsiaTheme="minorEastAsia" w:hAnsiTheme="minorHAnsi" w:cstheme="minorBidi"/>
                <w:sz w:val="22"/>
                <w:szCs w:val="22"/>
                <w:lang w:eastAsia="en-AU"/>
              </w:rPr>
              <w:tab/>
            </w:r>
            <w:r w:rsidR="00961367" w:rsidRPr="00291DEF">
              <w:rPr>
                <w:rStyle w:val="Hyperlink"/>
              </w:rPr>
              <w:t>Tenure typologies</w:t>
            </w:r>
            <w:r w:rsidR="00961367">
              <w:rPr>
                <w:webHidden/>
              </w:rPr>
              <w:tab/>
            </w:r>
            <w:r w:rsidR="00961367">
              <w:rPr>
                <w:webHidden/>
              </w:rPr>
              <w:fldChar w:fldCharType="begin"/>
            </w:r>
            <w:r w:rsidR="00961367">
              <w:rPr>
                <w:webHidden/>
              </w:rPr>
              <w:instrText xml:space="preserve"> PAGEREF _Toc513117793 \h </w:instrText>
            </w:r>
            <w:r w:rsidR="00961367">
              <w:rPr>
                <w:webHidden/>
              </w:rPr>
            </w:r>
            <w:r w:rsidR="00961367">
              <w:rPr>
                <w:webHidden/>
              </w:rPr>
              <w:fldChar w:fldCharType="separate"/>
            </w:r>
            <w:r w:rsidR="00961367">
              <w:rPr>
                <w:webHidden/>
              </w:rPr>
              <w:t>4</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794" w:history="1">
            <w:r w:rsidR="00961367" w:rsidRPr="00291DEF">
              <w:rPr>
                <w:rStyle w:val="Hyperlink"/>
              </w:rPr>
              <w:t>2.2</w:t>
            </w:r>
            <w:r w:rsidR="00961367">
              <w:rPr>
                <w:rFonts w:asciiTheme="minorHAnsi" w:eastAsiaTheme="minorEastAsia" w:hAnsiTheme="minorHAnsi" w:cstheme="minorBidi"/>
                <w:sz w:val="22"/>
                <w:szCs w:val="22"/>
                <w:lang w:eastAsia="en-AU"/>
              </w:rPr>
              <w:tab/>
            </w:r>
            <w:r w:rsidR="00961367" w:rsidRPr="00291DEF">
              <w:rPr>
                <w:rStyle w:val="Hyperlink"/>
              </w:rPr>
              <w:t>Documenting tenure</w:t>
            </w:r>
            <w:r w:rsidR="00961367">
              <w:rPr>
                <w:webHidden/>
              </w:rPr>
              <w:tab/>
            </w:r>
            <w:r w:rsidR="00961367">
              <w:rPr>
                <w:webHidden/>
              </w:rPr>
              <w:fldChar w:fldCharType="begin"/>
            </w:r>
            <w:r w:rsidR="00961367">
              <w:rPr>
                <w:webHidden/>
              </w:rPr>
              <w:instrText xml:space="preserve"> PAGEREF _Toc513117794 \h </w:instrText>
            </w:r>
            <w:r w:rsidR="00961367">
              <w:rPr>
                <w:webHidden/>
              </w:rPr>
            </w:r>
            <w:r w:rsidR="00961367">
              <w:rPr>
                <w:webHidden/>
              </w:rPr>
              <w:fldChar w:fldCharType="separate"/>
            </w:r>
            <w:r w:rsidR="00961367">
              <w:rPr>
                <w:webHidden/>
              </w:rPr>
              <w:t>14</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795" w:history="1">
            <w:r w:rsidR="00961367" w:rsidRPr="00291DEF">
              <w:rPr>
                <w:rStyle w:val="Hyperlink"/>
              </w:rPr>
              <w:t>2.3</w:t>
            </w:r>
            <w:r w:rsidR="00961367">
              <w:rPr>
                <w:rFonts w:asciiTheme="minorHAnsi" w:eastAsiaTheme="minorEastAsia" w:hAnsiTheme="minorHAnsi" w:cstheme="minorBidi"/>
                <w:sz w:val="22"/>
                <w:szCs w:val="22"/>
                <w:lang w:eastAsia="en-AU"/>
              </w:rPr>
              <w:tab/>
            </w:r>
            <w:r w:rsidR="00961367" w:rsidRPr="00291DEF">
              <w:rPr>
                <w:rStyle w:val="Hyperlink"/>
              </w:rPr>
              <w:t>Customary ownership</w:t>
            </w:r>
            <w:r w:rsidR="00961367">
              <w:rPr>
                <w:webHidden/>
              </w:rPr>
              <w:tab/>
            </w:r>
            <w:r w:rsidR="00961367">
              <w:rPr>
                <w:webHidden/>
              </w:rPr>
              <w:fldChar w:fldCharType="begin"/>
            </w:r>
            <w:r w:rsidR="00961367">
              <w:rPr>
                <w:webHidden/>
              </w:rPr>
              <w:instrText xml:space="preserve"> PAGEREF _Toc513117795 \h </w:instrText>
            </w:r>
            <w:r w:rsidR="00961367">
              <w:rPr>
                <w:webHidden/>
              </w:rPr>
            </w:r>
            <w:r w:rsidR="00961367">
              <w:rPr>
                <w:webHidden/>
              </w:rPr>
              <w:fldChar w:fldCharType="separate"/>
            </w:r>
            <w:r w:rsidR="00961367">
              <w:rPr>
                <w:webHidden/>
              </w:rPr>
              <w:t>16</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796" w:history="1">
            <w:r w:rsidR="00961367" w:rsidRPr="00291DEF">
              <w:rPr>
                <w:rStyle w:val="Hyperlink"/>
              </w:rPr>
              <w:t>2.4</w:t>
            </w:r>
            <w:r w:rsidR="00961367">
              <w:rPr>
                <w:rFonts w:asciiTheme="minorHAnsi" w:eastAsiaTheme="minorEastAsia" w:hAnsiTheme="minorHAnsi" w:cstheme="minorBidi"/>
                <w:sz w:val="22"/>
                <w:szCs w:val="22"/>
                <w:lang w:eastAsia="en-AU"/>
              </w:rPr>
              <w:tab/>
            </w:r>
            <w:r w:rsidR="00961367" w:rsidRPr="00291DEF">
              <w:rPr>
                <w:rStyle w:val="Hyperlink"/>
              </w:rPr>
              <w:t>Informal settlements</w:t>
            </w:r>
            <w:r w:rsidR="00961367">
              <w:rPr>
                <w:webHidden/>
              </w:rPr>
              <w:tab/>
            </w:r>
            <w:r w:rsidR="00961367">
              <w:rPr>
                <w:webHidden/>
              </w:rPr>
              <w:fldChar w:fldCharType="begin"/>
            </w:r>
            <w:r w:rsidR="00961367">
              <w:rPr>
                <w:webHidden/>
              </w:rPr>
              <w:instrText xml:space="preserve"> PAGEREF _Toc513117796 \h </w:instrText>
            </w:r>
            <w:r w:rsidR="00961367">
              <w:rPr>
                <w:webHidden/>
              </w:rPr>
            </w:r>
            <w:r w:rsidR="00961367">
              <w:rPr>
                <w:webHidden/>
              </w:rPr>
              <w:fldChar w:fldCharType="separate"/>
            </w:r>
            <w:r w:rsidR="00961367">
              <w:rPr>
                <w:webHidden/>
              </w:rPr>
              <w:t>16</w:t>
            </w:r>
            <w:r w:rsidR="00961367">
              <w:rPr>
                <w:webHidden/>
              </w:rPr>
              <w:fldChar w:fldCharType="end"/>
            </w:r>
          </w:hyperlink>
        </w:p>
        <w:p w:rsidR="00961367" w:rsidRDefault="00E90975">
          <w:pPr>
            <w:pStyle w:val="TOC1"/>
            <w:rPr>
              <w:rFonts w:asciiTheme="minorHAnsi" w:eastAsiaTheme="minorEastAsia" w:hAnsiTheme="minorHAnsi" w:cstheme="minorBidi"/>
              <w:b w:val="0"/>
              <w:sz w:val="22"/>
              <w:szCs w:val="22"/>
              <w:lang w:eastAsia="en-AU"/>
            </w:rPr>
          </w:pPr>
          <w:hyperlink w:anchor="_Toc513117797" w:history="1">
            <w:r w:rsidR="00961367" w:rsidRPr="00291DEF">
              <w:rPr>
                <w:rStyle w:val="Hyperlink"/>
                <w:rFonts w:eastAsiaTheme="minorHAnsi"/>
              </w:rPr>
              <w:t>3</w:t>
            </w:r>
            <w:r w:rsidR="00961367">
              <w:rPr>
                <w:rFonts w:asciiTheme="minorHAnsi" w:eastAsiaTheme="minorEastAsia" w:hAnsiTheme="minorHAnsi" w:cstheme="minorBidi"/>
                <w:b w:val="0"/>
                <w:sz w:val="22"/>
                <w:szCs w:val="22"/>
                <w:lang w:eastAsia="en-AU"/>
              </w:rPr>
              <w:tab/>
            </w:r>
            <w:r w:rsidR="00961367" w:rsidRPr="00291DEF">
              <w:rPr>
                <w:rStyle w:val="Hyperlink"/>
                <w:rFonts w:eastAsiaTheme="minorHAnsi"/>
              </w:rPr>
              <w:t>Security of tenure of vulnerable groups</w:t>
            </w:r>
            <w:r w:rsidR="00961367">
              <w:rPr>
                <w:webHidden/>
              </w:rPr>
              <w:tab/>
            </w:r>
            <w:r w:rsidR="00961367">
              <w:rPr>
                <w:webHidden/>
              </w:rPr>
              <w:fldChar w:fldCharType="begin"/>
            </w:r>
            <w:r w:rsidR="00961367">
              <w:rPr>
                <w:webHidden/>
              </w:rPr>
              <w:instrText xml:space="preserve"> PAGEREF _Toc513117797 \h </w:instrText>
            </w:r>
            <w:r w:rsidR="00961367">
              <w:rPr>
                <w:webHidden/>
              </w:rPr>
            </w:r>
            <w:r w:rsidR="00961367">
              <w:rPr>
                <w:webHidden/>
              </w:rPr>
              <w:fldChar w:fldCharType="separate"/>
            </w:r>
            <w:r w:rsidR="00961367">
              <w:rPr>
                <w:webHidden/>
              </w:rPr>
              <w:t>16</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798" w:history="1">
            <w:r w:rsidR="00961367" w:rsidRPr="00291DEF">
              <w:rPr>
                <w:rStyle w:val="Hyperlink"/>
                <w:rFonts w:eastAsiaTheme="minorHAnsi"/>
                <w:iCs/>
                <w:lang w:val="en-GB"/>
              </w:rPr>
              <w:t>3.1</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iCs/>
                <w:lang w:val="en-GB"/>
              </w:rPr>
              <w:t>Women</w:t>
            </w:r>
            <w:r w:rsidR="00961367">
              <w:rPr>
                <w:webHidden/>
              </w:rPr>
              <w:tab/>
            </w:r>
            <w:r w:rsidR="00961367">
              <w:rPr>
                <w:webHidden/>
              </w:rPr>
              <w:fldChar w:fldCharType="begin"/>
            </w:r>
            <w:r w:rsidR="00961367">
              <w:rPr>
                <w:webHidden/>
              </w:rPr>
              <w:instrText xml:space="preserve"> PAGEREF _Toc513117798 \h </w:instrText>
            </w:r>
            <w:r w:rsidR="00961367">
              <w:rPr>
                <w:webHidden/>
              </w:rPr>
            </w:r>
            <w:r w:rsidR="00961367">
              <w:rPr>
                <w:webHidden/>
              </w:rPr>
              <w:fldChar w:fldCharType="separate"/>
            </w:r>
            <w:r w:rsidR="00961367">
              <w:rPr>
                <w:webHidden/>
              </w:rPr>
              <w:t>16</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799" w:history="1">
            <w:r w:rsidR="00961367" w:rsidRPr="00291DEF">
              <w:rPr>
                <w:rStyle w:val="Hyperlink"/>
                <w:rFonts w:eastAsiaTheme="minorHAnsi"/>
              </w:rPr>
              <w:t>3.2</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rPr>
              <w:t>Indigenous groups</w:t>
            </w:r>
            <w:r w:rsidR="00961367">
              <w:rPr>
                <w:webHidden/>
              </w:rPr>
              <w:tab/>
            </w:r>
            <w:r w:rsidR="00961367">
              <w:rPr>
                <w:webHidden/>
              </w:rPr>
              <w:fldChar w:fldCharType="begin"/>
            </w:r>
            <w:r w:rsidR="00961367">
              <w:rPr>
                <w:webHidden/>
              </w:rPr>
              <w:instrText xml:space="preserve"> PAGEREF _Toc513117799 \h </w:instrText>
            </w:r>
            <w:r w:rsidR="00961367">
              <w:rPr>
                <w:webHidden/>
              </w:rPr>
            </w:r>
            <w:r w:rsidR="00961367">
              <w:rPr>
                <w:webHidden/>
              </w:rPr>
              <w:fldChar w:fldCharType="separate"/>
            </w:r>
            <w:r w:rsidR="00961367">
              <w:rPr>
                <w:webHidden/>
              </w:rPr>
              <w:t>17</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800" w:history="1">
            <w:r w:rsidR="00961367" w:rsidRPr="00291DEF">
              <w:rPr>
                <w:rStyle w:val="Hyperlink"/>
                <w:rFonts w:eastAsiaTheme="minorHAnsi"/>
              </w:rPr>
              <w:t>3.3</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rPr>
              <w:t>Minority groups</w:t>
            </w:r>
            <w:r w:rsidR="00961367">
              <w:rPr>
                <w:webHidden/>
              </w:rPr>
              <w:tab/>
            </w:r>
            <w:r w:rsidR="00961367">
              <w:rPr>
                <w:webHidden/>
              </w:rPr>
              <w:fldChar w:fldCharType="begin"/>
            </w:r>
            <w:r w:rsidR="00961367">
              <w:rPr>
                <w:webHidden/>
              </w:rPr>
              <w:instrText xml:space="preserve"> PAGEREF _Toc513117800 \h </w:instrText>
            </w:r>
            <w:r w:rsidR="00961367">
              <w:rPr>
                <w:webHidden/>
              </w:rPr>
            </w:r>
            <w:r w:rsidR="00961367">
              <w:rPr>
                <w:webHidden/>
              </w:rPr>
              <w:fldChar w:fldCharType="separate"/>
            </w:r>
            <w:r w:rsidR="00961367">
              <w:rPr>
                <w:webHidden/>
              </w:rPr>
              <w:t>18</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801" w:history="1">
            <w:r w:rsidR="00961367" w:rsidRPr="00291DEF">
              <w:rPr>
                <w:rStyle w:val="Hyperlink"/>
                <w:rFonts w:eastAsiaTheme="minorHAnsi"/>
              </w:rPr>
              <w:t>3.4</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rPr>
              <w:t>Landless people/squatters</w:t>
            </w:r>
            <w:r w:rsidR="00961367">
              <w:rPr>
                <w:webHidden/>
              </w:rPr>
              <w:tab/>
            </w:r>
            <w:r w:rsidR="00961367">
              <w:rPr>
                <w:webHidden/>
              </w:rPr>
              <w:fldChar w:fldCharType="begin"/>
            </w:r>
            <w:r w:rsidR="00961367">
              <w:rPr>
                <w:webHidden/>
              </w:rPr>
              <w:instrText xml:space="preserve"> PAGEREF _Toc513117801 \h </w:instrText>
            </w:r>
            <w:r w:rsidR="00961367">
              <w:rPr>
                <w:webHidden/>
              </w:rPr>
            </w:r>
            <w:r w:rsidR="00961367">
              <w:rPr>
                <w:webHidden/>
              </w:rPr>
              <w:fldChar w:fldCharType="separate"/>
            </w:r>
            <w:r w:rsidR="00961367">
              <w:rPr>
                <w:webHidden/>
              </w:rPr>
              <w:t>19</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802" w:history="1">
            <w:r w:rsidR="00961367" w:rsidRPr="00291DEF">
              <w:rPr>
                <w:rStyle w:val="Hyperlink"/>
                <w:rFonts w:eastAsiaTheme="minorHAnsi"/>
              </w:rPr>
              <w:t>3.5</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rPr>
              <w:t>General questions</w:t>
            </w:r>
            <w:r w:rsidR="00961367">
              <w:rPr>
                <w:webHidden/>
              </w:rPr>
              <w:tab/>
            </w:r>
            <w:r w:rsidR="00961367">
              <w:rPr>
                <w:webHidden/>
              </w:rPr>
              <w:fldChar w:fldCharType="begin"/>
            </w:r>
            <w:r w:rsidR="00961367">
              <w:rPr>
                <w:webHidden/>
              </w:rPr>
              <w:instrText xml:space="preserve"> PAGEREF _Toc513117802 \h </w:instrText>
            </w:r>
            <w:r w:rsidR="00961367">
              <w:rPr>
                <w:webHidden/>
              </w:rPr>
            </w:r>
            <w:r w:rsidR="00961367">
              <w:rPr>
                <w:webHidden/>
              </w:rPr>
              <w:fldChar w:fldCharType="separate"/>
            </w:r>
            <w:r w:rsidR="00961367">
              <w:rPr>
                <w:webHidden/>
              </w:rPr>
              <w:t>19</w:t>
            </w:r>
            <w:r w:rsidR="00961367">
              <w:rPr>
                <w:webHidden/>
              </w:rPr>
              <w:fldChar w:fldCharType="end"/>
            </w:r>
          </w:hyperlink>
        </w:p>
        <w:p w:rsidR="00961367" w:rsidRDefault="00E90975">
          <w:pPr>
            <w:pStyle w:val="TOC1"/>
            <w:rPr>
              <w:rFonts w:asciiTheme="minorHAnsi" w:eastAsiaTheme="minorEastAsia" w:hAnsiTheme="minorHAnsi" w:cstheme="minorBidi"/>
              <w:b w:val="0"/>
              <w:sz w:val="22"/>
              <w:szCs w:val="22"/>
              <w:lang w:eastAsia="en-AU"/>
            </w:rPr>
          </w:pPr>
          <w:hyperlink w:anchor="_Toc513117803" w:history="1">
            <w:r w:rsidR="00961367" w:rsidRPr="00291DEF">
              <w:rPr>
                <w:rStyle w:val="Hyperlink"/>
                <w:rFonts w:eastAsiaTheme="minorHAnsi"/>
              </w:rPr>
              <w:t>4</w:t>
            </w:r>
            <w:r w:rsidR="00961367">
              <w:rPr>
                <w:rFonts w:asciiTheme="minorHAnsi" w:eastAsiaTheme="minorEastAsia" w:hAnsiTheme="minorHAnsi" w:cstheme="minorBidi"/>
                <w:b w:val="0"/>
                <w:sz w:val="22"/>
                <w:szCs w:val="22"/>
                <w:lang w:eastAsia="en-AU"/>
              </w:rPr>
              <w:tab/>
            </w:r>
            <w:r w:rsidR="00961367" w:rsidRPr="00291DEF">
              <w:rPr>
                <w:rStyle w:val="Hyperlink"/>
                <w:rFonts w:eastAsiaTheme="minorHAnsi"/>
              </w:rPr>
              <w:t>Eviction, Expropriation and Relocation</w:t>
            </w:r>
            <w:r w:rsidR="00961367">
              <w:rPr>
                <w:webHidden/>
              </w:rPr>
              <w:tab/>
            </w:r>
            <w:r w:rsidR="00961367">
              <w:rPr>
                <w:webHidden/>
              </w:rPr>
              <w:fldChar w:fldCharType="begin"/>
            </w:r>
            <w:r w:rsidR="00961367">
              <w:rPr>
                <w:webHidden/>
              </w:rPr>
              <w:instrText xml:space="preserve"> PAGEREF _Toc513117803 \h </w:instrText>
            </w:r>
            <w:r w:rsidR="00961367">
              <w:rPr>
                <w:webHidden/>
              </w:rPr>
            </w:r>
            <w:r w:rsidR="00961367">
              <w:rPr>
                <w:webHidden/>
              </w:rPr>
              <w:fldChar w:fldCharType="separate"/>
            </w:r>
            <w:r w:rsidR="00961367">
              <w:rPr>
                <w:webHidden/>
              </w:rPr>
              <w:t>19</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804" w:history="1">
            <w:r w:rsidR="00961367" w:rsidRPr="00291DEF">
              <w:rPr>
                <w:rStyle w:val="Hyperlink"/>
                <w:rFonts w:eastAsiaTheme="minorHAnsi"/>
              </w:rPr>
              <w:t>4.1</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rPr>
              <w:t>Eviction</w:t>
            </w:r>
            <w:r w:rsidR="00961367">
              <w:rPr>
                <w:webHidden/>
              </w:rPr>
              <w:tab/>
            </w:r>
            <w:r w:rsidR="00961367">
              <w:rPr>
                <w:webHidden/>
              </w:rPr>
              <w:fldChar w:fldCharType="begin"/>
            </w:r>
            <w:r w:rsidR="00961367">
              <w:rPr>
                <w:webHidden/>
              </w:rPr>
              <w:instrText xml:space="preserve"> PAGEREF _Toc513117804 \h </w:instrText>
            </w:r>
            <w:r w:rsidR="00961367">
              <w:rPr>
                <w:webHidden/>
              </w:rPr>
            </w:r>
            <w:r w:rsidR="00961367">
              <w:rPr>
                <w:webHidden/>
              </w:rPr>
              <w:fldChar w:fldCharType="separate"/>
            </w:r>
            <w:r w:rsidR="00961367">
              <w:rPr>
                <w:webHidden/>
              </w:rPr>
              <w:t>19</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805" w:history="1">
            <w:r w:rsidR="00961367" w:rsidRPr="00291DEF">
              <w:rPr>
                <w:rStyle w:val="Hyperlink"/>
                <w:rFonts w:eastAsiaTheme="minorHAnsi"/>
              </w:rPr>
              <w:t>4.2</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rPr>
              <w:t>Expropriation</w:t>
            </w:r>
            <w:r w:rsidR="00961367">
              <w:rPr>
                <w:webHidden/>
              </w:rPr>
              <w:tab/>
            </w:r>
            <w:r w:rsidR="00961367">
              <w:rPr>
                <w:webHidden/>
              </w:rPr>
              <w:fldChar w:fldCharType="begin"/>
            </w:r>
            <w:r w:rsidR="00961367">
              <w:rPr>
                <w:webHidden/>
              </w:rPr>
              <w:instrText xml:space="preserve"> PAGEREF _Toc513117805 \h </w:instrText>
            </w:r>
            <w:r w:rsidR="00961367">
              <w:rPr>
                <w:webHidden/>
              </w:rPr>
            </w:r>
            <w:r w:rsidR="00961367">
              <w:rPr>
                <w:webHidden/>
              </w:rPr>
              <w:fldChar w:fldCharType="separate"/>
            </w:r>
            <w:r w:rsidR="00961367">
              <w:rPr>
                <w:webHidden/>
              </w:rPr>
              <w:t>20</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806" w:history="1">
            <w:r w:rsidR="00961367" w:rsidRPr="00291DEF">
              <w:rPr>
                <w:rStyle w:val="Hyperlink"/>
                <w:rFonts w:eastAsiaTheme="minorHAnsi"/>
              </w:rPr>
              <w:t>4.3</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rPr>
              <w:t>Relocation</w:t>
            </w:r>
            <w:r w:rsidR="00961367">
              <w:rPr>
                <w:webHidden/>
              </w:rPr>
              <w:tab/>
            </w:r>
            <w:r w:rsidR="00961367">
              <w:rPr>
                <w:webHidden/>
              </w:rPr>
              <w:fldChar w:fldCharType="begin"/>
            </w:r>
            <w:r w:rsidR="00961367">
              <w:rPr>
                <w:webHidden/>
              </w:rPr>
              <w:instrText xml:space="preserve"> PAGEREF _Toc513117806 \h </w:instrText>
            </w:r>
            <w:r w:rsidR="00961367">
              <w:rPr>
                <w:webHidden/>
              </w:rPr>
            </w:r>
            <w:r w:rsidR="00961367">
              <w:rPr>
                <w:webHidden/>
              </w:rPr>
              <w:fldChar w:fldCharType="separate"/>
            </w:r>
            <w:r w:rsidR="00961367">
              <w:rPr>
                <w:webHidden/>
              </w:rPr>
              <w:t>21</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807" w:history="1">
            <w:r w:rsidR="00961367" w:rsidRPr="00291DEF">
              <w:rPr>
                <w:rStyle w:val="Hyperlink"/>
                <w:rFonts w:eastAsiaTheme="minorHAnsi"/>
              </w:rPr>
              <w:t>4.4</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rPr>
              <w:t>Compensation</w:t>
            </w:r>
            <w:r w:rsidR="00961367">
              <w:rPr>
                <w:webHidden/>
              </w:rPr>
              <w:tab/>
            </w:r>
            <w:r w:rsidR="00961367">
              <w:rPr>
                <w:webHidden/>
              </w:rPr>
              <w:fldChar w:fldCharType="begin"/>
            </w:r>
            <w:r w:rsidR="00961367">
              <w:rPr>
                <w:webHidden/>
              </w:rPr>
              <w:instrText xml:space="preserve"> PAGEREF _Toc513117807 \h </w:instrText>
            </w:r>
            <w:r w:rsidR="00961367">
              <w:rPr>
                <w:webHidden/>
              </w:rPr>
            </w:r>
            <w:r w:rsidR="00961367">
              <w:rPr>
                <w:webHidden/>
              </w:rPr>
              <w:fldChar w:fldCharType="separate"/>
            </w:r>
            <w:r w:rsidR="00961367">
              <w:rPr>
                <w:webHidden/>
              </w:rPr>
              <w:t>21</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808" w:history="1">
            <w:r w:rsidR="00961367" w:rsidRPr="00291DEF">
              <w:rPr>
                <w:rStyle w:val="Hyperlink"/>
                <w:rFonts w:eastAsiaTheme="minorHAnsi"/>
                <w:lang w:val="en-US"/>
              </w:rPr>
              <w:t>4.5</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lang w:val="en-US"/>
              </w:rPr>
              <w:t>Shelter cluster</w:t>
            </w:r>
            <w:r w:rsidR="00961367">
              <w:rPr>
                <w:webHidden/>
              </w:rPr>
              <w:tab/>
            </w:r>
            <w:r w:rsidR="00961367">
              <w:rPr>
                <w:webHidden/>
              </w:rPr>
              <w:fldChar w:fldCharType="begin"/>
            </w:r>
            <w:r w:rsidR="00961367">
              <w:rPr>
                <w:webHidden/>
              </w:rPr>
              <w:instrText xml:space="preserve"> PAGEREF _Toc513117808 \h </w:instrText>
            </w:r>
            <w:r w:rsidR="00961367">
              <w:rPr>
                <w:webHidden/>
              </w:rPr>
            </w:r>
            <w:r w:rsidR="00961367">
              <w:rPr>
                <w:webHidden/>
              </w:rPr>
              <w:fldChar w:fldCharType="separate"/>
            </w:r>
            <w:r w:rsidR="00961367">
              <w:rPr>
                <w:webHidden/>
              </w:rPr>
              <w:t>21</w:t>
            </w:r>
            <w:r w:rsidR="00961367">
              <w:rPr>
                <w:webHidden/>
              </w:rPr>
              <w:fldChar w:fldCharType="end"/>
            </w:r>
          </w:hyperlink>
        </w:p>
        <w:p w:rsidR="00961367" w:rsidRDefault="00E90975">
          <w:pPr>
            <w:pStyle w:val="TOC1"/>
            <w:rPr>
              <w:rFonts w:asciiTheme="minorHAnsi" w:eastAsiaTheme="minorEastAsia" w:hAnsiTheme="minorHAnsi" w:cstheme="minorBidi"/>
              <w:b w:val="0"/>
              <w:sz w:val="22"/>
              <w:szCs w:val="22"/>
              <w:lang w:eastAsia="en-AU"/>
            </w:rPr>
          </w:pPr>
          <w:hyperlink w:anchor="_Toc513117809" w:history="1">
            <w:r w:rsidR="00961367" w:rsidRPr="00291DEF">
              <w:rPr>
                <w:rStyle w:val="Hyperlink"/>
                <w:rFonts w:eastAsiaTheme="minorHAnsi"/>
              </w:rPr>
              <w:t>5</w:t>
            </w:r>
            <w:r w:rsidR="00961367">
              <w:rPr>
                <w:rFonts w:asciiTheme="minorHAnsi" w:eastAsiaTheme="minorEastAsia" w:hAnsiTheme="minorHAnsi" w:cstheme="minorBidi"/>
                <w:b w:val="0"/>
                <w:sz w:val="22"/>
                <w:szCs w:val="22"/>
                <w:lang w:eastAsia="en-AU"/>
              </w:rPr>
              <w:tab/>
            </w:r>
            <w:r w:rsidR="00961367" w:rsidRPr="00291DEF">
              <w:rPr>
                <w:rStyle w:val="Hyperlink"/>
                <w:rFonts w:eastAsiaTheme="minorHAnsi"/>
              </w:rPr>
              <w:t>Bibliography</w:t>
            </w:r>
            <w:r w:rsidR="00961367">
              <w:rPr>
                <w:webHidden/>
              </w:rPr>
              <w:tab/>
            </w:r>
            <w:r w:rsidR="00961367">
              <w:rPr>
                <w:webHidden/>
              </w:rPr>
              <w:fldChar w:fldCharType="begin"/>
            </w:r>
            <w:r w:rsidR="00961367">
              <w:rPr>
                <w:webHidden/>
              </w:rPr>
              <w:instrText xml:space="preserve"> PAGEREF _Toc513117809 \h </w:instrText>
            </w:r>
            <w:r w:rsidR="00961367">
              <w:rPr>
                <w:webHidden/>
              </w:rPr>
            </w:r>
            <w:r w:rsidR="00961367">
              <w:rPr>
                <w:webHidden/>
              </w:rPr>
              <w:fldChar w:fldCharType="separate"/>
            </w:r>
            <w:r w:rsidR="00961367">
              <w:rPr>
                <w:webHidden/>
              </w:rPr>
              <w:t>23</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810" w:history="1">
            <w:r w:rsidR="00961367" w:rsidRPr="00291DEF">
              <w:rPr>
                <w:rStyle w:val="Hyperlink"/>
                <w:rFonts w:eastAsiaTheme="minorHAnsi"/>
              </w:rPr>
              <w:t>5.1</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rPr>
              <w:t>Legislation</w:t>
            </w:r>
            <w:r w:rsidR="00961367">
              <w:rPr>
                <w:webHidden/>
              </w:rPr>
              <w:tab/>
            </w:r>
            <w:r w:rsidR="00961367">
              <w:rPr>
                <w:webHidden/>
              </w:rPr>
              <w:fldChar w:fldCharType="begin"/>
            </w:r>
            <w:r w:rsidR="00961367">
              <w:rPr>
                <w:webHidden/>
              </w:rPr>
              <w:instrText xml:space="preserve"> PAGEREF _Toc513117810 \h </w:instrText>
            </w:r>
            <w:r w:rsidR="00961367">
              <w:rPr>
                <w:webHidden/>
              </w:rPr>
            </w:r>
            <w:r w:rsidR="00961367">
              <w:rPr>
                <w:webHidden/>
              </w:rPr>
              <w:fldChar w:fldCharType="separate"/>
            </w:r>
            <w:r w:rsidR="00961367">
              <w:rPr>
                <w:webHidden/>
              </w:rPr>
              <w:t>23</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811" w:history="1">
            <w:r w:rsidR="00961367" w:rsidRPr="00291DEF">
              <w:rPr>
                <w:rStyle w:val="Hyperlink"/>
                <w:rFonts w:eastAsiaTheme="minorHAnsi"/>
              </w:rPr>
              <w:t>5.2</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rPr>
              <w:t>Case law</w:t>
            </w:r>
            <w:r w:rsidR="00961367">
              <w:rPr>
                <w:webHidden/>
              </w:rPr>
              <w:tab/>
            </w:r>
            <w:r w:rsidR="00961367">
              <w:rPr>
                <w:webHidden/>
              </w:rPr>
              <w:fldChar w:fldCharType="begin"/>
            </w:r>
            <w:r w:rsidR="00961367">
              <w:rPr>
                <w:webHidden/>
              </w:rPr>
              <w:instrText xml:space="preserve"> PAGEREF _Toc513117811 \h </w:instrText>
            </w:r>
            <w:r w:rsidR="00961367">
              <w:rPr>
                <w:webHidden/>
              </w:rPr>
            </w:r>
            <w:r w:rsidR="00961367">
              <w:rPr>
                <w:webHidden/>
              </w:rPr>
              <w:fldChar w:fldCharType="separate"/>
            </w:r>
            <w:r w:rsidR="00961367">
              <w:rPr>
                <w:webHidden/>
              </w:rPr>
              <w:t>23</w:t>
            </w:r>
            <w:r w:rsidR="00961367">
              <w:rPr>
                <w:webHidden/>
              </w:rPr>
              <w:fldChar w:fldCharType="end"/>
            </w:r>
          </w:hyperlink>
        </w:p>
        <w:p w:rsidR="00961367" w:rsidRDefault="00E90975">
          <w:pPr>
            <w:pStyle w:val="TOC2"/>
            <w:tabs>
              <w:tab w:val="left" w:pos="1418"/>
            </w:tabs>
            <w:rPr>
              <w:rFonts w:asciiTheme="minorHAnsi" w:eastAsiaTheme="minorEastAsia" w:hAnsiTheme="minorHAnsi" w:cstheme="minorBidi"/>
              <w:sz w:val="22"/>
              <w:szCs w:val="22"/>
              <w:lang w:eastAsia="en-AU"/>
            </w:rPr>
          </w:pPr>
          <w:hyperlink w:anchor="_Toc513117812" w:history="1">
            <w:r w:rsidR="00961367" w:rsidRPr="00291DEF">
              <w:rPr>
                <w:rStyle w:val="Hyperlink"/>
                <w:rFonts w:eastAsiaTheme="minorHAnsi"/>
              </w:rPr>
              <w:t>5.3</w:t>
            </w:r>
            <w:r w:rsidR="00961367">
              <w:rPr>
                <w:rFonts w:asciiTheme="minorHAnsi" w:eastAsiaTheme="minorEastAsia" w:hAnsiTheme="minorHAnsi" w:cstheme="minorBidi"/>
                <w:sz w:val="22"/>
                <w:szCs w:val="22"/>
                <w:lang w:eastAsia="en-AU"/>
              </w:rPr>
              <w:tab/>
            </w:r>
            <w:r w:rsidR="00961367" w:rsidRPr="00291DEF">
              <w:rPr>
                <w:rStyle w:val="Hyperlink"/>
                <w:rFonts w:eastAsiaTheme="minorHAnsi"/>
              </w:rPr>
              <w:t>Secondary Sources</w:t>
            </w:r>
            <w:r w:rsidR="00961367">
              <w:rPr>
                <w:webHidden/>
              </w:rPr>
              <w:tab/>
            </w:r>
            <w:r w:rsidR="00961367">
              <w:rPr>
                <w:webHidden/>
              </w:rPr>
              <w:fldChar w:fldCharType="begin"/>
            </w:r>
            <w:r w:rsidR="00961367">
              <w:rPr>
                <w:webHidden/>
              </w:rPr>
              <w:instrText xml:space="preserve"> PAGEREF _Toc513117812 \h </w:instrText>
            </w:r>
            <w:r w:rsidR="00961367">
              <w:rPr>
                <w:webHidden/>
              </w:rPr>
            </w:r>
            <w:r w:rsidR="00961367">
              <w:rPr>
                <w:webHidden/>
              </w:rPr>
              <w:fldChar w:fldCharType="separate"/>
            </w:r>
            <w:r w:rsidR="00961367">
              <w:rPr>
                <w:webHidden/>
              </w:rPr>
              <w:t>23</w:t>
            </w:r>
            <w:r w:rsidR="00961367">
              <w:rPr>
                <w:webHidden/>
              </w:rPr>
              <w:fldChar w:fldCharType="end"/>
            </w:r>
          </w:hyperlink>
        </w:p>
        <w:p w:rsidR="002D47F2" w:rsidRDefault="002D47F2">
          <w:pPr>
            <w:spacing w:before="0" w:after="200" w:line="276" w:lineRule="auto"/>
            <w:rPr>
              <w:b/>
              <w:sz w:val="22"/>
            </w:rPr>
          </w:pPr>
          <w:r>
            <w:rPr>
              <w:b/>
              <w:noProof/>
            </w:rPr>
            <w:fldChar w:fldCharType="end"/>
          </w:r>
        </w:p>
      </w:sdtContent>
    </w:sdt>
    <w:p w:rsidR="002D47F2" w:rsidRPr="00D4796C" w:rsidRDefault="002D47F2" w:rsidP="00E273DA">
      <w:pPr>
        <w:rPr>
          <w:b/>
        </w:rPr>
      </w:pPr>
      <w:r w:rsidRPr="00D4796C">
        <w:rPr>
          <w:b/>
        </w:rPr>
        <w:t>Acknowledgements</w:t>
      </w:r>
    </w:p>
    <w:p w:rsidR="002D47F2" w:rsidRPr="00D4796C" w:rsidRDefault="002D47F2" w:rsidP="00E273DA">
      <w:r w:rsidRPr="00D4796C">
        <w:t xml:space="preserve">In preparing this memorandum, Allens has received extensive assistance from Rosamond Bing, </w:t>
      </w:r>
      <w:r>
        <w:t>Legal Counsel at</w:t>
      </w:r>
      <w:r w:rsidRPr="00D4796C">
        <w:t xml:space="preserve"> the Ministry of Lands and Natural Resources in Tonga. Allens is grateful to Ms Bing for her generous and invaluable contribution to this research.</w:t>
      </w:r>
    </w:p>
    <w:p w:rsidR="002D47F2" w:rsidRPr="00D4796C" w:rsidRDefault="002D47F2" w:rsidP="00E273DA"/>
    <w:p w:rsidR="002D47F2" w:rsidRPr="00D4796C" w:rsidRDefault="002D47F2" w:rsidP="00E273DA">
      <w:pPr>
        <w:rPr>
          <w:b/>
        </w:rPr>
      </w:pPr>
      <w:r w:rsidRPr="00D4796C">
        <w:rPr>
          <w:b/>
        </w:rPr>
        <w:t>Disclaimer</w:t>
      </w:r>
    </w:p>
    <w:p w:rsidR="002D47F2" w:rsidRPr="00687798" w:rsidRDefault="002D47F2" w:rsidP="00E273DA">
      <w:r w:rsidRPr="00E96B3D">
        <w:t>This report is the</w:t>
      </w:r>
      <w:r>
        <w:t xml:space="preserve"> result of a desktop review of publically available information. This report is not legal advice.</w:t>
      </w:r>
    </w:p>
    <w:p w:rsidR="002D47F2" w:rsidRDefault="002D47F2" w:rsidP="008E7252">
      <w:pPr>
        <w:pStyle w:val="AllensHeading1"/>
        <w:numPr>
          <w:ilvl w:val="0"/>
          <w:numId w:val="13"/>
        </w:numPr>
      </w:pPr>
      <w:r>
        <w:br w:type="page"/>
      </w:r>
      <w:bookmarkStart w:id="34" w:name="_Toc513117789"/>
      <w:r>
        <w:lastRenderedPageBreak/>
        <w:t>Introduction</w:t>
      </w:r>
      <w:bookmarkEnd w:id="34"/>
    </w:p>
    <w:p w:rsidR="002D47F2" w:rsidRDefault="002D47F2" w:rsidP="00E273DA">
      <w:pPr>
        <w:pStyle w:val="AllensHeading2"/>
        <w:tabs>
          <w:tab w:val="clear" w:pos="709"/>
          <w:tab w:val="num" w:pos="2836"/>
        </w:tabs>
      </w:pPr>
      <w:bookmarkStart w:id="35" w:name="_Toc513117790"/>
      <w:r>
        <w:t>Overview</w:t>
      </w:r>
      <w:bookmarkEnd w:id="35"/>
    </w:p>
    <w:p w:rsidR="002D47F2" w:rsidRDefault="002D47F2" w:rsidP="00E273DA">
      <w:pPr>
        <w:ind w:left="709"/>
        <w:rPr>
          <w:lang w:val="en-GB"/>
        </w:rPr>
      </w:pPr>
      <w:r w:rsidRPr="00DA20DA">
        <w:rPr>
          <w:lang w:val="en-GB"/>
        </w:rPr>
        <w:t>The Red Cross Red Crescent aims to respond to disasters as rapidly and effectively as possible, by mobili</w:t>
      </w:r>
      <w:r>
        <w:rPr>
          <w:lang w:val="en-GB"/>
        </w:rPr>
        <w:t>s</w:t>
      </w:r>
      <w:r w:rsidRPr="00DA20DA">
        <w:rPr>
          <w:lang w:val="en-GB"/>
        </w:rPr>
        <w:t>ing its resources (people, money and other assets) and using its network in a coordinated manner so that the initial effects are countered and the needs of the affected communities are met.</w:t>
      </w:r>
    </w:p>
    <w:p w:rsidR="002D47F2" w:rsidRDefault="002D47F2" w:rsidP="00E273DA">
      <w:pPr>
        <w:ind w:left="709"/>
        <w:rPr>
          <w:lang w:val="en-GB"/>
        </w:rPr>
      </w:pPr>
      <w:r w:rsidRPr="00DA20DA">
        <w:rPr>
          <w:lang w:val="en-GB"/>
        </w:rPr>
        <w:t>The Australian Red Cross (</w:t>
      </w:r>
      <w:r w:rsidRPr="00DA20DA">
        <w:rPr>
          <w:b/>
          <w:bCs/>
          <w:i/>
          <w:iCs/>
          <w:lang w:val="en-GB"/>
        </w:rPr>
        <w:t>ARC</w:t>
      </w:r>
      <w:r w:rsidRPr="00DA20DA">
        <w:rPr>
          <w:lang w:val="en-GB"/>
        </w:rPr>
        <w:t xml:space="preserve">) is a key Partner National Society, </w:t>
      </w:r>
      <w:proofErr w:type="gramStart"/>
      <w:r w:rsidRPr="00DA20DA">
        <w:rPr>
          <w:lang w:val="en-GB"/>
        </w:rPr>
        <w:t>supporting  the</w:t>
      </w:r>
      <w:proofErr w:type="gramEnd"/>
      <w:r w:rsidRPr="00DA20DA">
        <w:rPr>
          <w:lang w:val="en-GB"/>
        </w:rPr>
        <w:t> International Federation of Red Cross and Red Crescent Societies (</w:t>
      </w:r>
      <w:r w:rsidRPr="00DA20DA">
        <w:rPr>
          <w:b/>
          <w:bCs/>
          <w:lang w:val="en-GB"/>
        </w:rPr>
        <w:t>IFRC</w:t>
      </w:r>
      <w:r w:rsidRPr="00DA20DA">
        <w:rPr>
          <w:lang w:val="en-GB"/>
        </w:rPr>
        <w:t>) response to natural disasters in the A</w:t>
      </w:r>
      <w:r>
        <w:rPr>
          <w:lang w:val="en-GB"/>
        </w:rPr>
        <w:t>sia-Pacific.</w:t>
      </w:r>
    </w:p>
    <w:p w:rsidR="002D47F2" w:rsidRDefault="002D47F2" w:rsidP="00E273DA">
      <w:pPr>
        <w:ind w:left="709"/>
        <w:rPr>
          <w:lang w:val="en-GB"/>
        </w:rPr>
      </w:pPr>
      <w:r w:rsidRPr="00DA20DA">
        <w:rPr>
          <w:lang w:val="en-GB"/>
        </w:rPr>
        <w:t>The Red Cross Red Crescent has identified that better knowledge of local housing, land and property laws in the Asia-Pacific is vital to ensuring that emergency shelter is delivered efficiently and equitably in the aftermath of natural disaste</w:t>
      </w:r>
      <w:r>
        <w:rPr>
          <w:lang w:val="en-GB"/>
        </w:rPr>
        <w:t>rs.</w:t>
      </w:r>
    </w:p>
    <w:p w:rsidR="002D47F2" w:rsidRDefault="002D47F2" w:rsidP="00E273DA">
      <w:pPr>
        <w:ind w:left="709"/>
      </w:pPr>
      <w:r w:rsidRPr="00DA20DA">
        <w:rPr>
          <w:lang w:val="en-GB"/>
        </w:rPr>
        <w:t xml:space="preserve">Australian Red Cross, with technical support and initial research from IFRC, has provided the research template to which this memorandum responds. </w:t>
      </w:r>
      <w:r>
        <w:t>This memorandum comprises three main sections.</w:t>
      </w:r>
    </w:p>
    <w:p w:rsidR="002D47F2" w:rsidRPr="00FD1AD5" w:rsidRDefault="002D47F2" w:rsidP="00E273DA">
      <w:pPr>
        <w:pStyle w:val="Bullet1"/>
        <w:tabs>
          <w:tab w:val="clear" w:pos="709"/>
          <w:tab w:val="num" w:pos="3545"/>
        </w:tabs>
        <w:ind w:left="1418"/>
      </w:pPr>
      <w:r>
        <w:t xml:space="preserve">The first section, </w:t>
      </w:r>
      <w:r w:rsidRPr="00FD1AD5">
        <w:t xml:space="preserve">entitled </w:t>
      </w:r>
      <w:hyperlink w:anchor="Common_types_of_tenure" w:history="1">
        <w:r w:rsidRPr="00FD1AD5">
          <w:rPr>
            <w:rStyle w:val="Hyperlink"/>
            <w:color w:val="auto"/>
            <w:u w:val="none"/>
          </w:rPr>
          <w:t>'common types of tenure'</w:t>
        </w:r>
      </w:hyperlink>
      <w:r w:rsidRPr="00FD1AD5">
        <w:t>, provides an overview of the different types of housing and land tenure in Tonga. It outlines the methods used to create and transfer tenure, and analyses the degree of security of tenure afforded by each form of tenure.</w:t>
      </w:r>
    </w:p>
    <w:p w:rsidR="002D47F2" w:rsidRPr="00FD1AD5" w:rsidRDefault="002D47F2" w:rsidP="00E273DA">
      <w:pPr>
        <w:pStyle w:val="Bullet1"/>
        <w:tabs>
          <w:tab w:val="clear" w:pos="709"/>
          <w:tab w:val="num" w:pos="2836"/>
        </w:tabs>
        <w:ind w:left="1418"/>
      </w:pPr>
      <w:r w:rsidRPr="00FD1AD5">
        <w:t xml:space="preserve">The second section, entitled </w:t>
      </w:r>
      <w:hyperlink w:anchor="Security_of_tenure_of_vulnerable_group" w:history="1">
        <w:r w:rsidRPr="00FD1AD5">
          <w:rPr>
            <w:rStyle w:val="Hyperlink"/>
            <w:color w:val="auto"/>
            <w:u w:val="none"/>
          </w:rPr>
          <w:t>'security of tenure of vulnerable groups'</w:t>
        </w:r>
      </w:hyperlink>
      <w:r w:rsidRPr="00FD1AD5">
        <w:t>, considers whether, and to what extent, certain groups face legal barriers to owning or accessing land and housing. This section focuses primarily on women and the Chinese ethnic minority, both of which face legal barriers to owning land.</w:t>
      </w:r>
    </w:p>
    <w:p w:rsidR="002D47F2" w:rsidRDefault="002D47F2" w:rsidP="00E273DA">
      <w:pPr>
        <w:pStyle w:val="Bullet1"/>
        <w:tabs>
          <w:tab w:val="clear" w:pos="709"/>
          <w:tab w:val="num" w:pos="2127"/>
        </w:tabs>
        <w:ind w:left="1418"/>
      </w:pPr>
      <w:r w:rsidRPr="00FD1AD5">
        <w:t xml:space="preserve">The third section, entitled </w:t>
      </w:r>
      <w:hyperlink w:anchor="Eviction_Expropriation_Relocation" w:history="1">
        <w:r w:rsidRPr="00FD1AD5">
          <w:rPr>
            <w:rStyle w:val="Hyperlink"/>
            <w:color w:val="auto"/>
            <w:u w:val="none"/>
          </w:rPr>
          <w:t>'eviction, expropriation and relocation'</w:t>
        </w:r>
      </w:hyperlink>
      <w:r w:rsidRPr="00FD1AD5">
        <w:t xml:space="preserve">, considers </w:t>
      </w:r>
      <w:r>
        <w:t>Tongan statutory and case law which governs, or is applicable to, forced evictions, compulsory acquisition of land and relocations. This section also considers whether compensation is available in these situations.</w:t>
      </w:r>
    </w:p>
    <w:p w:rsidR="002D47F2" w:rsidRDefault="002D47F2" w:rsidP="00E273DA">
      <w:pPr>
        <w:pStyle w:val="AllensHeading2"/>
      </w:pPr>
      <w:bookmarkStart w:id="36" w:name="_Ref474342161"/>
      <w:bookmarkStart w:id="37" w:name="_Toc513117791"/>
      <w:r>
        <w:t>Background information on Tonga</w:t>
      </w:r>
      <w:bookmarkEnd w:id="36"/>
      <w:bookmarkEnd w:id="37"/>
    </w:p>
    <w:p w:rsidR="002D47F2" w:rsidRPr="008D38C5" w:rsidRDefault="002D47F2" w:rsidP="00E273DA">
      <w:pPr>
        <w:pStyle w:val="NormalIndent"/>
        <w:rPr>
          <w:color w:val="000000" w:themeColor="text1"/>
        </w:rPr>
      </w:pPr>
      <w:r w:rsidRPr="008D38C5">
        <w:rPr>
          <w:color w:val="000000" w:themeColor="text1"/>
          <w:lang w:val="en"/>
        </w:rPr>
        <w:t xml:space="preserve">Tonga is an archipelago in the South Pacific Ocean comprising approximately 170 islands, </w:t>
      </w:r>
      <w:r>
        <w:rPr>
          <w:color w:val="000000" w:themeColor="text1"/>
          <w:lang w:val="en"/>
        </w:rPr>
        <w:t xml:space="preserve">only </w:t>
      </w:r>
      <w:r w:rsidRPr="008D38C5">
        <w:rPr>
          <w:color w:val="000000" w:themeColor="text1"/>
          <w:lang w:val="en"/>
        </w:rPr>
        <w:t xml:space="preserve">36 of which are inhabited. </w:t>
      </w:r>
      <w:r w:rsidRPr="008D38C5">
        <w:rPr>
          <w:color w:val="000000" w:themeColor="text1"/>
        </w:rPr>
        <w:t xml:space="preserve">Statistics from the 2016 Census have not yet been published. However, according to the 2011 Census, Tonga has a population of </w:t>
      </w:r>
      <w:r>
        <w:rPr>
          <w:color w:val="000000" w:themeColor="text1"/>
        </w:rPr>
        <w:t>103,000, with a</w:t>
      </w:r>
      <w:r w:rsidRPr="008D38C5">
        <w:rPr>
          <w:color w:val="000000" w:themeColor="text1"/>
        </w:rPr>
        <w:t>pproxima</w:t>
      </w:r>
      <w:r>
        <w:rPr>
          <w:color w:val="000000" w:themeColor="text1"/>
        </w:rPr>
        <w:t>tely 75% of the population living</w:t>
      </w:r>
      <w:r w:rsidRPr="008D38C5">
        <w:rPr>
          <w:color w:val="000000" w:themeColor="text1"/>
        </w:rPr>
        <w:t xml:space="preserve"> on the island of </w:t>
      </w:r>
      <w:proofErr w:type="spellStart"/>
      <w:r w:rsidRPr="008D38C5">
        <w:rPr>
          <w:color w:val="000000" w:themeColor="text1"/>
        </w:rPr>
        <w:t>Tongatapu</w:t>
      </w:r>
      <w:proofErr w:type="spellEnd"/>
      <w:r w:rsidRPr="008D38C5">
        <w:rPr>
          <w:color w:val="000000" w:themeColor="text1"/>
        </w:rPr>
        <w:t xml:space="preserve"> in the nation's south</w:t>
      </w:r>
      <w:r>
        <w:rPr>
          <w:color w:val="000000" w:themeColor="text1"/>
        </w:rPr>
        <w:t>.</w:t>
      </w:r>
      <w:r>
        <w:rPr>
          <w:rStyle w:val="FootnoteReference"/>
          <w:color w:val="000000" w:themeColor="text1"/>
        </w:rPr>
        <w:footnoteReference w:id="1"/>
      </w:r>
    </w:p>
    <w:p w:rsidR="002D47F2" w:rsidRPr="00003348" w:rsidRDefault="002D47F2" w:rsidP="00E273DA">
      <w:pPr>
        <w:ind w:left="709"/>
      </w:pPr>
      <w:r w:rsidRPr="008D38C5">
        <w:rPr>
          <w:lang w:val="en"/>
        </w:rPr>
        <w:t>Approximately one quarter of Tonga's population lives in urban areas</w:t>
      </w:r>
      <w:r>
        <w:rPr>
          <w:lang w:val="en"/>
        </w:rPr>
        <w:t xml:space="preserve"> and this percentage is increasing</w:t>
      </w:r>
      <w:r w:rsidRPr="008D38C5">
        <w:rPr>
          <w:lang w:val="en"/>
        </w:rPr>
        <w:t>.</w:t>
      </w:r>
      <w:r w:rsidRPr="008D38C5">
        <w:rPr>
          <w:rStyle w:val="FootnoteReference"/>
          <w:color w:val="000000" w:themeColor="text1"/>
          <w:lang w:val="en"/>
        </w:rPr>
        <w:footnoteReference w:id="2"/>
      </w:r>
      <w:r w:rsidRPr="008D38C5">
        <w:rPr>
          <w:lang w:val="en"/>
        </w:rPr>
        <w:t xml:space="preserve"> Tonga's main urban </w:t>
      </w:r>
      <w:proofErr w:type="spellStart"/>
      <w:r w:rsidRPr="008D38C5">
        <w:rPr>
          <w:lang w:val="en"/>
        </w:rPr>
        <w:t>centre</w:t>
      </w:r>
      <w:proofErr w:type="spellEnd"/>
      <w:r>
        <w:rPr>
          <w:lang w:val="en"/>
        </w:rPr>
        <w:t>,</w:t>
      </w:r>
      <w:r w:rsidRPr="008D38C5">
        <w:rPr>
          <w:lang w:val="en"/>
        </w:rPr>
        <w:t xml:space="preserve"> and national capital, </w:t>
      </w:r>
      <w:r w:rsidRPr="008D38C5">
        <w:t xml:space="preserve">Nuku'alofa, is located on </w:t>
      </w:r>
      <w:proofErr w:type="spellStart"/>
      <w:r w:rsidRPr="008D38C5">
        <w:t>Tongatapu</w:t>
      </w:r>
      <w:proofErr w:type="spellEnd"/>
      <w:r>
        <w:t xml:space="preserve"> and has a population of </w:t>
      </w:r>
      <w:r w:rsidRPr="008D38C5">
        <w:t>approximately 25,000.</w:t>
      </w:r>
      <w:r w:rsidRPr="008D38C5">
        <w:rPr>
          <w:rStyle w:val="FootnoteReference"/>
          <w:color w:val="000000" w:themeColor="text1"/>
        </w:rPr>
        <w:footnoteReference w:id="3"/>
      </w:r>
      <w:r w:rsidRPr="008D38C5">
        <w:t xml:space="preserve"> Tonga's second-largest urban centre is the town of </w:t>
      </w:r>
      <w:proofErr w:type="spellStart"/>
      <w:r w:rsidRPr="008D38C5">
        <w:rPr>
          <w:rFonts w:cs="Arial"/>
        </w:rPr>
        <w:t>Neiafu</w:t>
      </w:r>
      <w:proofErr w:type="spellEnd"/>
      <w:r w:rsidRPr="008D38C5">
        <w:rPr>
          <w:rFonts w:cs="Arial"/>
        </w:rPr>
        <w:t xml:space="preserve"> on the island of </w:t>
      </w:r>
      <w:proofErr w:type="spellStart"/>
      <w:r w:rsidRPr="008D38C5">
        <w:rPr>
          <w:rFonts w:cs="Arial"/>
          <w:bCs/>
        </w:rPr>
        <w:t>ʻUt</w:t>
      </w:r>
      <w:r>
        <w:rPr>
          <w:rFonts w:cs="Arial"/>
          <w:bCs/>
        </w:rPr>
        <w:t>a</w:t>
      </w:r>
      <w:proofErr w:type="spellEnd"/>
      <w:r w:rsidRPr="008D38C5">
        <w:rPr>
          <w:rFonts w:cs="Arial"/>
          <w:bCs/>
        </w:rPr>
        <w:t xml:space="preserve"> </w:t>
      </w:r>
      <w:proofErr w:type="spellStart"/>
      <w:r w:rsidRPr="008D38C5">
        <w:rPr>
          <w:rFonts w:cs="Arial"/>
          <w:bCs/>
        </w:rPr>
        <w:t>Vavaʻu</w:t>
      </w:r>
      <w:proofErr w:type="spellEnd"/>
      <w:r w:rsidRPr="008D38C5">
        <w:rPr>
          <w:rFonts w:cs="Arial"/>
        </w:rPr>
        <w:t>.</w:t>
      </w:r>
    </w:p>
    <w:p w:rsidR="002D47F2" w:rsidRDefault="002D47F2" w:rsidP="00E273DA">
      <w:pPr>
        <w:pStyle w:val="NormalIndent"/>
        <w:jc w:val="center"/>
      </w:pPr>
      <w:r>
        <w:rPr>
          <w:noProof/>
          <w:lang w:val="es-EC" w:eastAsia="es-EC"/>
        </w:rPr>
        <w:lastRenderedPageBreak/>
        <w:drawing>
          <wp:inline distT="0" distB="0" distL="0" distR="0" wp14:anchorId="0544B47F" wp14:editId="37CD2409">
            <wp:extent cx="2342744" cy="251777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2851" cy="2517889"/>
                    </a:xfrm>
                    <a:prstGeom prst="rect">
                      <a:avLst/>
                    </a:prstGeom>
                    <a:noFill/>
                    <a:ln>
                      <a:noFill/>
                    </a:ln>
                  </pic:spPr>
                </pic:pic>
              </a:graphicData>
            </a:graphic>
          </wp:inline>
        </w:drawing>
      </w:r>
    </w:p>
    <w:p w:rsidR="002D47F2" w:rsidRPr="00327DB0" w:rsidRDefault="002D47F2" w:rsidP="00E273DA">
      <w:pPr>
        <w:pStyle w:val="NormalIndent"/>
        <w:jc w:val="center"/>
        <w:rPr>
          <w:sz w:val="16"/>
          <w:szCs w:val="16"/>
        </w:rPr>
      </w:pPr>
      <w:r w:rsidRPr="00327DB0">
        <w:rPr>
          <w:sz w:val="16"/>
          <w:szCs w:val="16"/>
        </w:rPr>
        <w:t>(</w:t>
      </w:r>
      <w:r>
        <w:rPr>
          <w:sz w:val="16"/>
          <w:szCs w:val="16"/>
        </w:rPr>
        <w:t>Map on the left from:</w:t>
      </w:r>
      <w:r w:rsidRPr="00327DB0">
        <w:rPr>
          <w:sz w:val="16"/>
          <w:szCs w:val="16"/>
        </w:rPr>
        <w:t xml:space="preserve"> Central Intelligence Agency, </w:t>
      </w:r>
      <w:r w:rsidRPr="00327DB0">
        <w:rPr>
          <w:i/>
          <w:sz w:val="16"/>
          <w:szCs w:val="16"/>
        </w:rPr>
        <w:t>Tonga</w:t>
      </w:r>
      <w:r w:rsidRPr="00327DB0">
        <w:rPr>
          <w:sz w:val="16"/>
          <w:szCs w:val="16"/>
        </w:rPr>
        <w:t xml:space="preserve"> </w:t>
      </w:r>
      <w:r>
        <w:rPr>
          <w:sz w:val="16"/>
          <w:szCs w:val="16"/>
        </w:rPr>
        <w:br/>
        <w:t>&lt;</w:t>
      </w:r>
      <w:r w:rsidRPr="0061308F">
        <w:rPr>
          <w:sz w:val="16"/>
          <w:szCs w:val="16"/>
        </w:rPr>
        <w:t>https://www.cia.gov/library/publications/the-world-factbook/geos/tn.html</w:t>
      </w:r>
      <w:r>
        <w:rPr>
          <w:sz w:val="16"/>
          <w:szCs w:val="16"/>
        </w:rPr>
        <w:t>&gt;.)</w:t>
      </w:r>
    </w:p>
    <w:p w:rsidR="002D47F2" w:rsidRDefault="002D47F2" w:rsidP="00E273DA">
      <w:pPr>
        <w:pStyle w:val="NormalIndent"/>
        <w:ind w:left="720"/>
      </w:pPr>
      <w:r>
        <w:t>Tonga has a relatively</w:t>
      </w:r>
      <w:r w:rsidRPr="00D10661">
        <w:t xml:space="preserve"> homogenous population, with the vast majority of the population identifying as being of 'Tongan' origin. Th</w:t>
      </w:r>
      <w:r>
        <w:t>is term encompasses both Tongans of Melan</w:t>
      </w:r>
      <w:r w:rsidRPr="00D10661">
        <w:t>esian</w:t>
      </w:r>
      <w:r>
        <w:t xml:space="preserve"> and Polynesian ethnicity, although the vast majority of persons identifying as 'Tongan' are Polynesian.</w:t>
      </w:r>
    </w:p>
    <w:p w:rsidR="002D47F2" w:rsidRPr="00D10661" w:rsidRDefault="002D47F2" w:rsidP="00E273DA">
      <w:pPr>
        <w:pStyle w:val="NormalIndent"/>
        <w:ind w:left="720"/>
      </w:pPr>
      <w:r w:rsidRPr="00D10661">
        <w:t xml:space="preserve">The main ethnic minority in Tonga are the Chinese, who established a significant presence in the 1990s. </w:t>
      </w:r>
      <w:r>
        <w:t>A</w:t>
      </w:r>
      <w:r w:rsidRPr="00D10661">
        <w:t>ccording to the 2011 Census, 0.8 per cent of the Tongan population is of Chinese origin.</w:t>
      </w:r>
      <w:r w:rsidRPr="00D10661">
        <w:rPr>
          <w:vertAlign w:val="superscript"/>
        </w:rPr>
        <w:footnoteReference w:id="4"/>
      </w:r>
      <w:r w:rsidRPr="00D10661">
        <w:t xml:space="preserve"> This figure is greater in urban areas, where 2 per cent of the population is of Chinese origin.</w:t>
      </w:r>
      <w:r w:rsidRPr="00D10661">
        <w:rPr>
          <w:vertAlign w:val="superscript"/>
        </w:rPr>
        <w:footnoteReference w:id="5"/>
      </w:r>
    </w:p>
    <w:p w:rsidR="002D47F2" w:rsidRDefault="002D47F2" w:rsidP="00E273DA">
      <w:pPr>
        <w:pStyle w:val="NormalIndent"/>
        <w:rPr>
          <w:bCs/>
          <w:lang w:val="en"/>
        </w:rPr>
      </w:pPr>
      <w:r w:rsidRPr="00134938">
        <w:rPr>
          <w:bCs/>
          <w:lang w:val="en"/>
        </w:rPr>
        <w:t>Tonga is a constitutional monarchy and a parliamentary de</w:t>
      </w:r>
      <w:r>
        <w:rPr>
          <w:bCs/>
          <w:lang w:val="en"/>
        </w:rPr>
        <w:t>mocracy. The King, the royal family, nobles and chiefs enjoy certain privileges and responsibilities. Importantly, as discussed in the body of this memorandum, nobles and chiefs hold hereditary land estates. However, the executive role and powers of the monarchy has been substantially devolved.</w:t>
      </w:r>
      <w:r>
        <w:rPr>
          <w:rStyle w:val="FootnoteReference"/>
          <w:bCs/>
          <w:lang w:val="en"/>
        </w:rPr>
        <w:footnoteReference w:id="6"/>
      </w:r>
    </w:p>
    <w:p w:rsidR="002D47F2" w:rsidRDefault="002D47F2" w:rsidP="00E273DA">
      <w:pPr>
        <w:pStyle w:val="AllensHeading1"/>
      </w:pPr>
      <w:bookmarkStart w:id="38" w:name="_Toc513117792"/>
      <w:r>
        <w:t>Common types of tenure</w:t>
      </w:r>
      <w:bookmarkEnd w:id="38"/>
    </w:p>
    <w:p w:rsidR="002D47F2" w:rsidRDefault="002D47F2" w:rsidP="00E273DA">
      <w:pPr>
        <w:pStyle w:val="AllensHeading2"/>
      </w:pPr>
      <w:bookmarkStart w:id="39" w:name="_Toc513117793"/>
      <w:bookmarkStart w:id="40" w:name="Tenure_typologies"/>
      <w:r>
        <w:t>Tenure typologies</w:t>
      </w:r>
      <w:bookmarkEnd w:id="39"/>
    </w:p>
    <w:p w:rsidR="002D47F2" w:rsidRPr="009C6D2F" w:rsidRDefault="002D47F2" w:rsidP="00E273DA">
      <w:pPr>
        <w:pStyle w:val="AllensHeading3"/>
        <w:rPr>
          <w:b/>
        </w:rPr>
      </w:pPr>
      <w:bookmarkStart w:id="41" w:name="sec_2_1_a"/>
      <w:bookmarkEnd w:id="40"/>
      <w:bookmarkEnd w:id="41"/>
      <w:r w:rsidRPr="009C6D2F">
        <w:rPr>
          <w:b/>
        </w:rPr>
        <w:t>What are the key pieces of legislation governing housing, land, building and planning? Please provide links to copies of the legislation.</w:t>
      </w:r>
    </w:p>
    <w:p w:rsidR="002D47F2" w:rsidRDefault="002D47F2" w:rsidP="00E273DA">
      <w:pPr>
        <w:pStyle w:val="AllensHeading3"/>
        <w:numPr>
          <w:ilvl w:val="0"/>
          <w:numId w:val="0"/>
        </w:numPr>
        <w:ind w:left="709"/>
      </w:pPr>
      <w:r>
        <w:t>The key pieces of legislation governing housing, land, building and planning are:</w:t>
      </w:r>
    </w:p>
    <w:p w:rsidR="002D47F2" w:rsidRPr="00B66001" w:rsidRDefault="002D47F2" w:rsidP="00E273DA">
      <w:pPr>
        <w:pStyle w:val="Bullet2"/>
      </w:pPr>
      <w:r>
        <w:t xml:space="preserve">the </w:t>
      </w:r>
      <w:hyperlink r:id="rId27" w:history="1">
        <w:r w:rsidRPr="00A12294">
          <w:rPr>
            <w:rStyle w:val="Hyperlink"/>
            <w:i/>
          </w:rPr>
          <w:t>Act of Constitution of Tonga 1875</w:t>
        </w:r>
      </w:hyperlink>
      <w:r>
        <w:t xml:space="preserve"> (the </w:t>
      </w:r>
      <w:r w:rsidRPr="00EC49BA">
        <w:rPr>
          <w:b/>
          <w:i/>
        </w:rPr>
        <w:t>Constitution</w:t>
      </w:r>
      <w:r>
        <w:t>);</w:t>
      </w:r>
    </w:p>
    <w:p w:rsidR="002D47F2" w:rsidRDefault="002D47F2" w:rsidP="00E273DA">
      <w:pPr>
        <w:pStyle w:val="Bullet2"/>
      </w:pPr>
      <w:r>
        <w:t xml:space="preserve">the </w:t>
      </w:r>
      <w:hyperlink r:id="rId28" w:history="1">
        <w:r w:rsidR="00572DE8" w:rsidRPr="00572DE8">
          <w:rPr>
            <w:rStyle w:val="Hyperlink"/>
            <w:i/>
          </w:rPr>
          <w:t>Land Act 1927</w:t>
        </w:r>
      </w:hyperlink>
      <w:r>
        <w:rPr>
          <w:i/>
        </w:rPr>
        <w:t xml:space="preserve"> </w:t>
      </w:r>
      <w:r>
        <w:t xml:space="preserve">(the </w:t>
      </w:r>
      <w:r w:rsidRPr="00F73C65">
        <w:rPr>
          <w:b/>
          <w:i/>
        </w:rPr>
        <w:t>Land Act</w:t>
      </w:r>
      <w:r>
        <w:t>); and</w:t>
      </w:r>
    </w:p>
    <w:p w:rsidR="002D47F2" w:rsidRDefault="002D47F2" w:rsidP="00E273DA">
      <w:pPr>
        <w:pStyle w:val="Bullet2"/>
      </w:pPr>
      <w:r>
        <w:t xml:space="preserve">the </w:t>
      </w:r>
      <w:hyperlink r:id="rId29" w:history="1">
        <w:r w:rsidRPr="00EC49BA">
          <w:rPr>
            <w:rStyle w:val="Hyperlink"/>
            <w:i/>
          </w:rPr>
          <w:t>National Spatial Planning and Management Act 2012</w:t>
        </w:r>
      </w:hyperlink>
      <w:r>
        <w:t xml:space="preserve"> (the </w:t>
      </w:r>
      <w:r>
        <w:rPr>
          <w:b/>
          <w:i/>
        </w:rPr>
        <w:t>Planning Act</w:t>
      </w:r>
      <w:r>
        <w:t>); and</w:t>
      </w:r>
    </w:p>
    <w:p w:rsidR="002D47F2" w:rsidRPr="00A12294" w:rsidRDefault="002D47F2" w:rsidP="00E273DA">
      <w:pPr>
        <w:pStyle w:val="Bullet2"/>
      </w:pPr>
      <w:proofErr w:type="gramStart"/>
      <w:r>
        <w:t>the</w:t>
      </w:r>
      <w:proofErr w:type="gramEnd"/>
      <w:r>
        <w:t xml:space="preserve"> </w:t>
      </w:r>
      <w:hyperlink r:id="rId30" w:history="1">
        <w:r w:rsidRPr="002E70D2">
          <w:rPr>
            <w:rStyle w:val="Hyperlink"/>
            <w:i/>
          </w:rPr>
          <w:t>Building Control and Standards Act 2002</w:t>
        </w:r>
      </w:hyperlink>
      <w:r>
        <w:t>.</w:t>
      </w:r>
      <w:r>
        <w:rPr>
          <w:rStyle w:val="FootnoteReference"/>
        </w:rPr>
        <w:footnoteReference w:id="7"/>
      </w:r>
    </w:p>
    <w:p w:rsidR="002D47F2" w:rsidRPr="00D52502" w:rsidRDefault="002D47F2" w:rsidP="00E273DA">
      <w:pPr>
        <w:pStyle w:val="AllensHeading3"/>
        <w:rPr>
          <w:b/>
        </w:rPr>
      </w:pPr>
      <w:r w:rsidRPr="00D52502">
        <w:rPr>
          <w:b/>
        </w:rPr>
        <w:lastRenderedPageBreak/>
        <w:t>What types of tenure exist?</w:t>
      </w:r>
    </w:p>
    <w:p w:rsidR="002D47F2" w:rsidRDefault="002D47F2" w:rsidP="00E273DA">
      <w:pPr>
        <w:pStyle w:val="NormalIndent"/>
        <w:rPr>
          <w:bCs/>
        </w:rPr>
      </w:pPr>
      <w:r w:rsidRPr="00446254">
        <w:t xml:space="preserve">Section 104 of the </w:t>
      </w:r>
      <w:r w:rsidRPr="00446254">
        <w:rPr>
          <w:bCs/>
          <w:i/>
        </w:rPr>
        <w:t>Constitution</w:t>
      </w:r>
      <w:r w:rsidRPr="00446254">
        <w:rPr>
          <w:bCs/>
        </w:rPr>
        <w:t xml:space="preserve"> provides that all land in Tonga is vested in the Crown, and prohibits any person, including the Crown, from selling land. The effect of this provision is that </w:t>
      </w:r>
      <w:r w:rsidRPr="00446254">
        <w:rPr>
          <w:bCs/>
          <w:i/>
        </w:rPr>
        <w:t>only</w:t>
      </w:r>
      <w:r w:rsidRPr="00446254">
        <w:rPr>
          <w:bCs/>
        </w:rPr>
        <w:t xml:space="preserve"> the Crown has freehold title to land in Tonga.</w:t>
      </w:r>
      <w:r>
        <w:rPr>
          <w:rStyle w:val="FootnoteReference"/>
          <w:bCs/>
        </w:rPr>
        <w:footnoteReference w:id="8"/>
      </w:r>
      <w:r w:rsidRPr="00446254">
        <w:rPr>
          <w:bCs/>
        </w:rPr>
        <w:t xml:space="preserve">  Notwithstanding the foregoing, there are several other types of tenure in Tonga</w:t>
      </w:r>
      <w:r>
        <w:rPr>
          <w:bCs/>
        </w:rPr>
        <w:t>, as shown in the table below.</w:t>
      </w:r>
    </w:p>
    <w:tbl>
      <w:tblPr>
        <w:tblStyle w:val="TableGrid1"/>
        <w:tblW w:w="0" w:type="auto"/>
        <w:tblInd w:w="817" w:type="dxa"/>
        <w:tblLook w:val="04A0" w:firstRow="1" w:lastRow="0" w:firstColumn="1" w:lastColumn="0" w:noHBand="0" w:noVBand="1"/>
      </w:tblPr>
      <w:tblGrid>
        <w:gridCol w:w="2512"/>
        <w:gridCol w:w="1428"/>
        <w:gridCol w:w="2896"/>
        <w:gridCol w:w="1919"/>
      </w:tblGrid>
      <w:tr w:rsidR="002D47F2" w:rsidRPr="00C55E40" w:rsidTr="00E273DA">
        <w:tc>
          <w:tcPr>
            <w:tcW w:w="2552" w:type="dxa"/>
            <w:tcBorders>
              <w:bottom w:val="single" w:sz="4" w:space="0" w:color="auto"/>
            </w:tcBorders>
            <w:shd w:val="pct10" w:color="auto" w:fill="auto"/>
          </w:tcPr>
          <w:p w:rsidR="002D47F2" w:rsidRPr="00D45B10" w:rsidRDefault="002D47F2" w:rsidP="00E273DA">
            <w:pPr>
              <w:rPr>
                <w:rFonts w:cs="Arial"/>
                <w:b/>
              </w:rPr>
            </w:pPr>
            <w:r w:rsidRPr="00D45B10">
              <w:rPr>
                <w:rFonts w:cs="Arial"/>
                <w:b/>
              </w:rPr>
              <w:t>Tenure</w:t>
            </w:r>
          </w:p>
        </w:tc>
        <w:tc>
          <w:tcPr>
            <w:tcW w:w="1306" w:type="dxa"/>
            <w:tcBorders>
              <w:bottom w:val="single" w:sz="4" w:space="0" w:color="auto"/>
            </w:tcBorders>
            <w:shd w:val="pct10" w:color="auto" w:fill="auto"/>
          </w:tcPr>
          <w:p w:rsidR="002D47F2" w:rsidRPr="00D45B10" w:rsidRDefault="002D47F2" w:rsidP="00E273DA">
            <w:pPr>
              <w:rPr>
                <w:rFonts w:cs="Arial"/>
                <w:b/>
              </w:rPr>
            </w:pPr>
            <w:r>
              <w:rPr>
                <w:rFonts w:cs="Arial"/>
                <w:b/>
              </w:rPr>
              <w:t>Registrable?</w:t>
            </w:r>
          </w:p>
        </w:tc>
        <w:tc>
          <w:tcPr>
            <w:tcW w:w="2946" w:type="dxa"/>
            <w:tcBorders>
              <w:bottom w:val="single" w:sz="4" w:space="0" w:color="auto"/>
            </w:tcBorders>
            <w:shd w:val="pct10" w:color="auto" w:fill="auto"/>
          </w:tcPr>
          <w:p w:rsidR="002D47F2" w:rsidRPr="00D45B10" w:rsidRDefault="002D47F2" w:rsidP="00E273DA">
            <w:pPr>
              <w:rPr>
                <w:b/>
              </w:rPr>
            </w:pPr>
            <w:r>
              <w:rPr>
                <w:b/>
              </w:rPr>
              <w:t>Commonly Registered?</w:t>
            </w:r>
          </w:p>
        </w:tc>
        <w:tc>
          <w:tcPr>
            <w:tcW w:w="1951" w:type="dxa"/>
            <w:tcBorders>
              <w:bottom w:val="single" w:sz="4" w:space="0" w:color="auto"/>
            </w:tcBorders>
            <w:shd w:val="pct10" w:color="auto" w:fill="auto"/>
          </w:tcPr>
          <w:p w:rsidR="002D47F2" w:rsidRPr="00D45B10" w:rsidRDefault="002D47F2" w:rsidP="00E273DA">
            <w:pPr>
              <w:rPr>
                <w:rFonts w:cs="Arial"/>
                <w:b/>
              </w:rPr>
            </w:pPr>
            <w:r w:rsidRPr="00D45B10">
              <w:rPr>
                <w:b/>
              </w:rPr>
              <w:t>Section</w:t>
            </w:r>
            <w:r>
              <w:rPr>
                <w:b/>
              </w:rPr>
              <w:t xml:space="preserve"> below</w:t>
            </w:r>
          </w:p>
        </w:tc>
      </w:tr>
      <w:tr w:rsidR="002D47F2" w:rsidRPr="00C55E40" w:rsidTr="00E273DA">
        <w:tc>
          <w:tcPr>
            <w:tcW w:w="2552" w:type="dxa"/>
            <w:shd w:val="clear" w:color="auto" w:fill="auto"/>
          </w:tcPr>
          <w:p w:rsidR="002D47F2" w:rsidRPr="00C55E40" w:rsidRDefault="002D47F2" w:rsidP="00E273DA">
            <w:pPr>
              <w:rPr>
                <w:rFonts w:cs="Arial"/>
                <w:b/>
              </w:rPr>
            </w:pPr>
            <w:r>
              <w:t>Hereditary estate</w:t>
            </w:r>
          </w:p>
        </w:tc>
        <w:tc>
          <w:tcPr>
            <w:tcW w:w="1306" w:type="dxa"/>
            <w:shd w:val="clear" w:color="auto" w:fill="auto"/>
          </w:tcPr>
          <w:p w:rsidR="002D47F2" w:rsidRPr="00D45B10" w:rsidRDefault="002D47F2" w:rsidP="00E273DA">
            <w:pPr>
              <w:rPr>
                <w:rFonts w:cs="Arial"/>
              </w:rPr>
            </w:pPr>
            <w:r w:rsidRPr="00D45B10">
              <w:rPr>
                <w:rFonts w:cs="Arial"/>
              </w:rPr>
              <w:t>Yes</w:t>
            </w:r>
          </w:p>
        </w:tc>
        <w:tc>
          <w:tcPr>
            <w:tcW w:w="2946" w:type="dxa"/>
          </w:tcPr>
          <w:p w:rsidR="002D47F2" w:rsidRPr="008629A7" w:rsidRDefault="002D47F2" w:rsidP="00E273DA">
            <w:pPr>
              <w:rPr>
                <w:rFonts w:cs="Arial"/>
              </w:rPr>
            </w:pPr>
            <w:r w:rsidRPr="008629A7">
              <w:rPr>
                <w:rFonts w:cs="Arial"/>
              </w:rPr>
              <w:t>Yes</w:t>
            </w:r>
          </w:p>
        </w:tc>
        <w:tc>
          <w:tcPr>
            <w:tcW w:w="1951" w:type="dxa"/>
            <w:shd w:val="clear" w:color="auto" w:fill="auto"/>
          </w:tcPr>
          <w:p w:rsidR="002D47F2" w:rsidRPr="008629A7" w:rsidRDefault="00E90975" w:rsidP="00E273DA">
            <w:pPr>
              <w:rPr>
                <w:rFonts w:cs="Arial"/>
              </w:rPr>
            </w:pPr>
            <w:hyperlink w:anchor="i" w:history="1">
              <w:r w:rsidR="002D47F2" w:rsidRPr="008629A7">
                <w:rPr>
                  <w:rStyle w:val="Hyperlink"/>
                  <w:rFonts w:cs="Arial"/>
                  <w:color w:val="auto"/>
                  <w:u w:val="none"/>
                </w:rPr>
                <w:t>(i)</w:t>
              </w:r>
            </w:hyperlink>
          </w:p>
        </w:tc>
      </w:tr>
      <w:tr w:rsidR="002D47F2" w:rsidRPr="00C55E40" w:rsidTr="00E273DA">
        <w:tc>
          <w:tcPr>
            <w:tcW w:w="2552" w:type="dxa"/>
            <w:shd w:val="clear" w:color="auto" w:fill="auto"/>
          </w:tcPr>
          <w:p w:rsidR="002D47F2" w:rsidRPr="00C55E40" w:rsidRDefault="002D47F2" w:rsidP="00E273DA">
            <w:pPr>
              <w:rPr>
                <w:rFonts w:cs="Arial"/>
                <w:b/>
              </w:rPr>
            </w:pPr>
            <w:r>
              <w:t>Royal estate</w:t>
            </w:r>
          </w:p>
        </w:tc>
        <w:tc>
          <w:tcPr>
            <w:tcW w:w="1306" w:type="dxa"/>
            <w:shd w:val="clear" w:color="auto" w:fill="auto"/>
          </w:tcPr>
          <w:p w:rsidR="002D47F2" w:rsidRPr="00C55E40" w:rsidRDefault="002D47F2" w:rsidP="00E273DA">
            <w:pPr>
              <w:rPr>
                <w:rFonts w:cs="Arial"/>
                <w:b/>
              </w:rPr>
            </w:pPr>
            <w:r w:rsidRPr="00D45B10">
              <w:rPr>
                <w:rFonts w:cs="Arial"/>
              </w:rPr>
              <w:t>Yes</w:t>
            </w:r>
          </w:p>
        </w:tc>
        <w:tc>
          <w:tcPr>
            <w:tcW w:w="2946" w:type="dxa"/>
          </w:tcPr>
          <w:p w:rsidR="002D47F2" w:rsidRPr="008629A7" w:rsidRDefault="002D47F2" w:rsidP="00E273DA">
            <w:r w:rsidRPr="008629A7">
              <w:rPr>
                <w:rFonts w:cs="Arial"/>
              </w:rPr>
              <w:t>Yes</w:t>
            </w:r>
          </w:p>
        </w:tc>
        <w:tc>
          <w:tcPr>
            <w:tcW w:w="1951" w:type="dxa"/>
            <w:shd w:val="clear" w:color="auto" w:fill="auto"/>
          </w:tcPr>
          <w:p w:rsidR="002D47F2" w:rsidRPr="008629A7" w:rsidRDefault="00E90975" w:rsidP="00E273DA">
            <w:hyperlink w:anchor="ii" w:history="1">
              <w:r w:rsidR="002D47F2" w:rsidRPr="008629A7">
                <w:rPr>
                  <w:rStyle w:val="Hyperlink"/>
                  <w:color w:val="auto"/>
                  <w:u w:val="none"/>
                </w:rPr>
                <w:fldChar w:fldCharType="begin"/>
              </w:r>
              <w:r w:rsidR="002D47F2" w:rsidRPr="008629A7">
                <w:rPr>
                  <w:rStyle w:val="Hyperlink"/>
                  <w:color w:val="auto"/>
                  <w:u w:val="none"/>
                </w:rPr>
                <w:instrText xml:space="preserve"> REF _Ref477083168 \r \h </w:instrText>
              </w:r>
              <w:r w:rsidR="002D47F2" w:rsidRPr="008629A7">
                <w:rPr>
                  <w:rStyle w:val="Hyperlink"/>
                  <w:color w:val="auto"/>
                  <w:u w:val="none"/>
                </w:rPr>
              </w:r>
              <w:r w:rsidR="002D47F2" w:rsidRPr="008629A7">
                <w:rPr>
                  <w:rStyle w:val="Hyperlink"/>
                  <w:color w:val="auto"/>
                  <w:u w:val="none"/>
                </w:rPr>
                <w:fldChar w:fldCharType="separate"/>
              </w:r>
              <w:r w:rsidR="00961367">
                <w:rPr>
                  <w:rStyle w:val="Hyperlink"/>
                  <w:color w:val="auto"/>
                  <w:u w:val="none"/>
                </w:rPr>
                <w:t>(ii)</w:t>
              </w:r>
              <w:r w:rsidR="002D47F2" w:rsidRPr="008629A7">
                <w:rPr>
                  <w:rStyle w:val="Hyperlink"/>
                  <w:color w:val="auto"/>
                  <w:u w:val="none"/>
                </w:rPr>
                <w:fldChar w:fldCharType="end"/>
              </w:r>
            </w:hyperlink>
          </w:p>
        </w:tc>
      </w:tr>
      <w:tr w:rsidR="002D47F2" w:rsidRPr="00C55E40" w:rsidTr="00E273DA">
        <w:tc>
          <w:tcPr>
            <w:tcW w:w="2552" w:type="dxa"/>
            <w:shd w:val="clear" w:color="auto" w:fill="auto"/>
          </w:tcPr>
          <w:p w:rsidR="002D47F2" w:rsidRDefault="002D47F2" w:rsidP="00E273DA">
            <w:r>
              <w:t>Royal family estate</w:t>
            </w:r>
          </w:p>
        </w:tc>
        <w:tc>
          <w:tcPr>
            <w:tcW w:w="1306" w:type="dxa"/>
            <w:shd w:val="clear" w:color="auto" w:fill="auto"/>
          </w:tcPr>
          <w:p w:rsidR="002D47F2" w:rsidRPr="00C55E40" w:rsidRDefault="002D47F2" w:rsidP="00E273DA">
            <w:pPr>
              <w:rPr>
                <w:rFonts w:cs="Arial"/>
                <w:b/>
              </w:rPr>
            </w:pPr>
            <w:r w:rsidRPr="00D45B10">
              <w:rPr>
                <w:rFonts w:cs="Arial"/>
              </w:rPr>
              <w:t>Yes</w:t>
            </w:r>
          </w:p>
        </w:tc>
        <w:tc>
          <w:tcPr>
            <w:tcW w:w="2946" w:type="dxa"/>
          </w:tcPr>
          <w:p w:rsidR="002D47F2" w:rsidRPr="008629A7" w:rsidRDefault="002D47F2" w:rsidP="00E273DA">
            <w:r w:rsidRPr="008629A7">
              <w:rPr>
                <w:rFonts w:cs="Arial"/>
              </w:rPr>
              <w:t>Yes</w:t>
            </w:r>
          </w:p>
        </w:tc>
        <w:tc>
          <w:tcPr>
            <w:tcW w:w="1951" w:type="dxa"/>
            <w:shd w:val="clear" w:color="auto" w:fill="auto"/>
          </w:tcPr>
          <w:p w:rsidR="002D47F2" w:rsidRPr="008629A7" w:rsidRDefault="00E90975" w:rsidP="00E273DA">
            <w:hyperlink w:anchor="ii" w:history="1">
              <w:r w:rsidR="002D47F2" w:rsidRPr="008629A7">
                <w:rPr>
                  <w:rStyle w:val="Hyperlink"/>
                  <w:color w:val="auto"/>
                  <w:u w:val="none"/>
                </w:rPr>
                <w:t>(ii)</w:t>
              </w:r>
            </w:hyperlink>
          </w:p>
        </w:tc>
      </w:tr>
      <w:tr w:rsidR="002D47F2" w:rsidRPr="00C55E40" w:rsidTr="00E273DA">
        <w:tc>
          <w:tcPr>
            <w:tcW w:w="2552" w:type="dxa"/>
            <w:shd w:val="clear" w:color="auto" w:fill="auto"/>
          </w:tcPr>
          <w:p w:rsidR="002D47F2" w:rsidRDefault="002D47F2" w:rsidP="00E273DA">
            <w:r>
              <w:t>Town allotment</w:t>
            </w:r>
          </w:p>
        </w:tc>
        <w:tc>
          <w:tcPr>
            <w:tcW w:w="1306" w:type="dxa"/>
            <w:shd w:val="clear" w:color="auto" w:fill="auto"/>
          </w:tcPr>
          <w:p w:rsidR="002D47F2" w:rsidRPr="00C55E40" w:rsidRDefault="002D47F2" w:rsidP="00E273DA">
            <w:pPr>
              <w:rPr>
                <w:rFonts w:cs="Arial"/>
                <w:b/>
              </w:rPr>
            </w:pPr>
            <w:r w:rsidRPr="00D45B10">
              <w:rPr>
                <w:rFonts w:cs="Arial"/>
              </w:rPr>
              <w:t>Yes</w:t>
            </w:r>
          </w:p>
        </w:tc>
        <w:tc>
          <w:tcPr>
            <w:tcW w:w="2946" w:type="dxa"/>
          </w:tcPr>
          <w:p w:rsidR="002D47F2" w:rsidRPr="008629A7" w:rsidRDefault="002D47F2" w:rsidP="00E273DA">
            <w:r w:rsidRPr="008629A7">
              <w:rPr>
                <w:rFonts w:cs="Arial"/>
              </w:rPr>
              <w:t>Yes</w:t>
            </w:r>
          </w:p>
        </w:tc>
        <w:tc>
          <w:tcPr>
            <w:tcW w:w="1951" w:type="dxa"/>
            <w:shd w:val="clear" w:color="auto" w:fill="auto"/>
          </w:tcPr>
          <w:p w:rsidR="002D47F2" w:rsidRPr="008629A7" w:rsidRDefault="00E90975" w:rsidP="00E273DA">
            <w:hyperlink w:anchor="iii" w:history="1">
              <w:r w:rsidR="002D47F2" w:rsidRPr="008629A7">
                <w:rPr>
                  <w:rStyle w:val="Hyperlink"/>
                  <w:color w:val="auto"/>
                  <w:u w:val="none"/>
                </w:rPr>
                <w:t>(iii)</w:t>
              </w:r>
            </w:hyperlink>
          </w:p>
        </w:tc>
      </w:tr>
      <w:tr w:rsidR="002D47F2" w:rsidRPr="00C55E40" w:rsidTr="00E273DA">
        <w:tc>
          <w:tcPr>
            <w:tcW w:w="2552" w:type="dxa"/>
            <w:shd w:val="clear" w:color="auto" w:fill="auto"/>
          </w:tcPr>
          <w:p w:rsidR="002D47F2" w:rsidRDefault="002D47F2" w:rsidP="00E273DA">
            <w:r>
              <w:t>Tax allotment</w:t>
            </w:r>
          </w:p>
        </w:tc>
        <w:tc>
          <w:tcPr>
            <w:tcW w:w="1306" w:type="dxa"/>
            <w:shd w:val="clear" w:color="auto" w:fill="auto"/>
          </w:tcPr>
          <w:p w:rsidR="002D47F2" w:rsidRPr="00C55E40" w:rsidRDefault="002D47F2" w:rsidP="00E273DA">
            <w:pPr>
              <w:rPr>
                <w:rFonts w:cs="Arial"/>
                <w:b/>
              </w:rPr>
            </w:pPr>
            <w:r w:rsidRPr="00D45B10">
              <w:rPr>
                <w:rFonts w:cs="Arial"/>
              </w:rPr>
              <w:t>Yes</w:t>
            </w:r>
          </w:p>
        </w:tc>
        <w:tc>
          <w:tcPr>
            <w:tcW w:w="2946" w:type="dxa"/>
          </w:tcPr>
          <w:p w:rsidR="002D47F2" w:rsidRPr="008629A7" w:rsidRDefault="002D47F2" w:rsidP="00E273DA">
            <w:r w:rsidRPr="008629A7">
              <w:rPr>
                <w:rFonts w:cs="Arial"/>
              </w:rPr>
              <w:t>Yes</w:t>
            </w:r>
          </w:p>
        </w:tc>
        <w:tc>
          <w:tcPr>
            <w:tcW w:w="1951" w:type="dxa"/>
            <w:shd w:val="clear" w:color="auto" w:fill="auto"/>
          </w:tcPr>
          <w:p w:rsidR="002D47F2" w:rsidRPr="008629A7" w:rsidRDefault="00E90975" w:rsidP="00E273DA">
            <w:hyperlink w:anchor="iii" w:history="1">
              <w:r w:rsidR="002D47F2" w:rsidRPr="008629A7">
                <w:rPr>
                  <w:rStyle w:val="Hyperlink"/>
                  <w:color w:val="auto"/>
                  <w:u w:val="none"/>
                </w:rPr>
                <w:t>(iii)</w:t>
              </w:r>
            </w:hyperlink>
          </w:p>
        </w:tc>
      </w:tr>
      <w:tr w:rsidR="002D47F2" w:rsidRPr="00C55E40" w:rsidTr="00E273DA">
        <w:tc>
          <w:tcPr>
            <w:tcW w:w="2552" w:type="dxa"/>
            <w:shd w:val="clear" w:color="auto" w:fill="auto"/>
          </w:tcPr>
          <w:p w:rsidR="002D47F2" w:rsidRDefault="002D47F2" w:rsidP="00E273DA">
            <w:r>
              <w:t xml:space="preserve">Leases </w:t>
            </w:r>
          </w:p>
        </w:tc>
        <w:tc>
          <w:tcPr>
            <w:tcW w:w="1306" w:type="dxa"/>
            <w:shd w:val="clear" w:color="auto" w:fill="auto"/>
          </w:tcPr>
          <w:p w:rsidR="002D47F2" w:rsidRPr="00C55E40" w:rsidRDefault="002D47F2" w:rsidP="00E273DA">
            <w:pPr>
              <w:rPr>
                <w:rFonts w:cs="Arial"/>
                <w:b/>
              </w:rPr>
            </w:pPr>
            <w:r w:rsidRPr="00D45B10">
              <w:rPr>
                <w:rFonts w:cs="Arial"/>
              </w:rPr>
              <w:t>Yes</w:t>
            </w:r>
          </w:p>
        </w:tc>
        <w:tc>
          <w:tcPr>
            <w:tcW w:w="2946" w:type="dxa"/>
          </w:tcPr>
          <w:p w:rsidR="002D47F2" w:rsidRPr="008629A7" w:rsidRDefault="002D47F2" w:rsidP="00E273DA">
            <w:r w:rsidRPr="008629A7">
              <w:rPr>
                <w:rFonts w:cs="Arial"/>
              </w:rPr>
              <w:t>Yes</w:t>
            </w:r>
          </w:p>
        </w:tc>
        <w:tc>
          <w:tcPr>
            <w:tcW w:w="1951" w:type="dxa"/>
            <w:shd w:val="clear" w:color="auto" w:fill="auto"/>
          </w:tcPr>
          <w:p w:rsidR="002D47F2" w:rsidRPr="008629A7" w:rsidRDefault="00E90975" w:rsidP="00E273DA">
            <w:hyperlink w:anchor="iv" w:history="1">
              <w:r w:rsidR="002D47F2" w:rsidRPr="008629A7">
                <w:rPr>
                  <w:rStyle w:val="Hyperlink"/>
                  <w:color w:val="auto"/>
                  <w:u w:val="none"/>
                </w:rPr>
                <w:t>(iv)</w:t>
              </w:r>
            </w:hyperlink>
          </w:p>
        </w:tc>
      </w:tr>
      <w:tr w:rsidR="002D47F2" w:rsidRPr="00C55E40" w:rsidTr="00E273DA">
        <w:tc>
          <w:tcPr>
            <w:tcW w:w="2552" w:type="dxa"/>
            <w:shd w:val="clear" w:color="auto" w:fill="auto"/>
          </w:tcPr>
          <w:p w:rsidR="002D47F2" w:rsidRDefault="002D47F2" w:rsidP="00E273DA">
            <w:r>
              <w:t>Sub-lease</w:t>
            </w:r>
          </w:p>
        </w:tc>
        <w:tc>
          <w:tcPr>
            <w:tcW w:w="1306" w:type="dxa"/>
            <w:shd w:val="clear" w:color="auto" w:fill="auto"/>
          </w:tcPr>
          <w:p w:rsidR="002D47F2" w:rsidRPr="00C55E40" w:rsidRDefault="002D47F2" w:rsidP="00E273DA">
            <w:pPr>
              <w:rPr>
                <w:rFonts w:cs="Arial"/>
                <w:b/>
              </w:rPr>
            </w:pPr>
            <w:r w:rsidRPr="00D45B10">
              <w:rPr>
                <w:rFonts w:cs="Arial"/>
              </w:rPr>
              <w:t>Yes</w:t>
            </w:r>
          </w:p>
        </w:tc>
        <w:tc>
          <w:tcPr>
            <w:tcW w:w="2946" w:type="dxa"/>
          </w:tcPr>
          <w:p w:rsidR="002D47F2" w:rsidRPr="008629A7" w:rsidRDefault="002D47F2" w:rsidP="00E273DA">
            <w:r w:rsidRPr="008629A7">
              <w:rPr>
                <w:rFonts w:cs="Arial"/>
              </w:rPr>
              <w:t>Yes</w:t>
            </w:r>
          </w:p>
        </w:tc>
        <w:tc>
          <w:tcPr>
            <w:tcW w:w="1951" w:type="dxa"/>
            <w:shd w:val="clear" w:color="auto" w:fill="auto"/>
          </w:tcPr>
          <w:p w:rsidR="002D47F2" w:rsidRPr="008629A7" w:rsidRDefault="00E90975" w:rsidP="00E273DA">
            <w:hyperlink w:anchor="iv" w:history="1">
              <w:r w:rsidR="002D47F2" w:rsidRPr="008629A7">
                <w:rPr>
                  <w:rStyle w:val="Hyperlink"/>
                  <w:color w:val="auto"/>
                  <w:u w:val="none"/>
                </w:rPr>
                <w:t>(iv)</w:t>
              </w:r>
            </w:hyperlink>
          </w:p>
        </w:tc>
      </w:tr>
      <w:tr w:rsidR="002D47F2" w:rsidRPr="00C55E40" w:rsidTr="00E273DA">
        <w:tc>
          <w:tcPr>
            <w:tcW w:w="2552" w:type="dxa"/>
            <w:shd w:val="clear" w:color="auto" w:fill="auto"/>
          </w:tcPr>
          <w:p w:rsidR="002D47F2" w:rsidRDefault="002D47F2" w:rsidP="00E273DA">
            <w:r>
              <w:t>Permits</w:t>
            </w:r>
          </w:p>
        </w:tc>
        <w:tc>
          <w:tcPr>
            <w:tcW w:w="1306" w:type="dxa"/>
            <w:shd w:val="clear" w:color="auto" w:fill="auto"/>
          </w:tcPr>
          <w:p w:rsidR="002D47F2" w:rsidRPr="00C55E40" w:rsidRDefault="002D47F2" w:rsidP="00E273DA">
            <w:pPr>
              <w:rPr>
                <w:rFonts w:cs="Arial"/>
                <w:b/>
              </w:rPr>
            </w:pPr>
            <w:r w:rsidRPr="00D45B10">
              <w:rPr>
                <w:rFonts w:cs="Arial"/>
              </w:rPr>
              <w:t>Yes</w:t>
            </w:r>
          </w:p>
        </w:tc>
        <w:tc>
          <w:tcPr>
            <w:tcW w:w="2946" w:type="dxa"/>
          </w:tcPr>
          <w:p w:rsidR="002D47F2" w:rsidRPr="008629A7" w:rsidRDefault="002D47F2" w:rsidP="00E273DA">
            <w:r w:rsidRPr="008629A7">
              <w:rPr>
                <w:rFonts w:cs="Arial"/>
              </w:rPr>
              <w:t>Yes</w:t>
            </w:r>
          </w:p>
        </w:tc>
        <w:tc>
          <w:tcPr>
            <w:tcW w:w="1951" w:type="dxa"/>
            <w:shd w:val="clear" w:color="auto" w:fill="auto"/>
          </w:tcPr>
          <w:p w:rsidR="002D47F2" w:rsidRPr="008629A7" w:rsidRDefault="00E90975" w:rsidP="00E273DA">
            <w:hyperlink w:anchor="v" w:history="1">
              <w:r w:rsidR="002D47F2" w:rsidRPr="008629A7">
                <w:rPr>
                  <w:rStyle w:val="Hyperlink"/>
                  <w:color w:val="auto"/>
                  <w:u w:val="none"/>
                </w:rPr>
                <w:t>(v)</w:t>
              </w:r>
            </w:hyperlink>
          </w:p>
        </w:tc>
      </w:tr>
      <w:tr w:rsidR="002D47F2" w:rsidRPr="00C55E40" w:rsidTr="00E273DA">
        <w:tc>
          <w:tcPr>
            <w:tcW w:w="2552" w:type="dxa"/>
            <w:shd w:val="clear" w:color="auto" w:fill="auto"/>
          </w:tcPr>
          <w:p w:rsidR="002D47F2" w:rsidRDefault="002D47F2" w:rsidP="00E273DA">
            <w:r>
              <w:t>Teacher's allotment</w:t>
            </w:r>
          </w:p>
        </w:tc>
        <w:tc>
          <w:tcPr>
            <w:tcW w:w="1306" w:type="dxa"/>
            <w:shd w:val="clear" w:color="auto" w:fill="auto"/>
          </w:tcPr>
          <w:p w:rsidR="002D47F2" w:rsidRPr="00C55E40" w:rsidRDefault="002D47F2" w:rsidP="00E273DA">
            <w:pPr>
              <w:rPr>
                <w:rFonts w:cs="Arial"/>
                <w:b/>
              </w:rPr>
            </w:pPr>
            <w:r>
              <w:rPr>
                <w:rFonts w:cs="Arial"/>
              </w:rPr>
              <w:t>No</w:t>
            </w:r>
          </w:p>
        </w:tc>
        <w:tc>
          <w:tcPr>
            <w:tcW w:w="2946" w:type="dxa"/>
          </w:tcPr>
          <w:p w:rsidR="002D47F2" w:rsidRPr="008629A7" w:rsidRDefault="002D47F2" w:rsidP="00E273DA">
            <w:r w:rsidRPr="008629A7">
              <w:t>No</w:t>
            </w:r>
          </w:p>
        </w:tc>
        <w:tc>
          <w:tcPr>
            <w:tcW w:w="1951" w:type="dxa"/>
            <w:shd w:val="clear" w:color="auto" w:fill="auto"/>
          </w:tcPr>
          <w:p w:rsidR="002D47F2" w:rsidRPr="008629A7" w:rsidRDefault="00E90975" w:rsidP="00E273DA">
            <w:hyperlink w:anchor="vi" w:history="1">
              <w:r w:rsidR="002D47F2" w:rsidRPr="008629A7">
                <w:rPr>
                  <w:rStyle w:val="Hyperlink"/>
                  <w:color w:val="auto"/>
                  <w:u w:val="none"/>
                </w:rPr>
                <w:t>(vi)</w:t>
              </w:r>
            </w:hyperlink>
          </w:p>
        </w:tc>
      </w:tr>
      <w:tr w:rsidR="002D47F2" w:rsidRPr="00C55E40" w:rsidTr="00E273DA">
        <w:tc>
          <w:tcPr>
            <w:tcW w:w="2552" w:type="dxa"/>
            <w:shd w:val="clear" w:color="auto" w:fill="auto"/>
          </w:tcPr>
          <w:p w:rsidR="002D47F2" w:rsidRDefault="002D47F2" w:rsidP="00E273DA">
            <w:r>
              <w:t>Tenancy agreements</w:t>
            </w:r>
          </w:p>
        </w:tc>
        <w:tc>
          <w:tcPr>
            <w:tcW w:w="1306" w:type="dxa"/>
            <w:shd w:val="clear" w:color="auto" w:fill="auto"/>
          </w:tcPr>
          <w:p w:rsidR="002D47F2" w:rsidRPr="00C55E40" w:rsidRDefault="002D47F2" w:rsidP="00E273DA">
            <w:pPr>
              <w:rPr>
                <w:rFonts w:cs="Arial"/>
                <w:b/>
              </w:rPr>
            </w:pPr>
            <w:r>
              <w:rPr>
                <w:rFonts w:cs="Arial"/>
              </w:rPr>
              <w:t>Yes</w:t>
            </w:r>
          </w:p>
        </w:tc>
        <w:tc>
          <w:tcPr>
            <w:tcW w:w="2946" w:type="dxa"/>
          </w:tcPr>
          <w:p w:rsidR="002D47F2" w:rsidRPr="008629A7" w:rsidRDefault="002D47F2" w:rsidP="00E273DA">
            <w:r w:rsidRPr="008629A7">
              <w:t>No</w:t>
            </w:r>
          </w:p>
        </w:tc>
        <w:tc>
          <w:tcPr>
            <w:tcW w:w="1951" w:type="dxa"/>
            <w:shd w:val="clear" w:color="auto" w:fill="auto"/>
          </w:tcPr>
          <w:p w:rsidR="002D47F2" w:rsidRPr="008629A7" w:rsidRDefault="00E90975" w:rsidP="00E273DA">
            <w:hyperlink w:anchor="viii" w:history="1">
              <w:r w:rsidR="002D47F2" w:rsidRPr="008629A7">
                <w:rPr>
                  <w:rStyle w:val="Hyperlink"/>
                  <w:color w:val="auto"/>
                  <w:u w:val="none"/>
                </w:rPr>
                <w:t>(viii)</w:t>
              </w:r>
            </w:hyperlink>
          </w:p>
        </w:tc>
      </w:tr>
      <w:tr w:rsidR="002D47F2" w:rsidRPr="00C55E40" w:rsidTr="00E273DA">
        <w:tc>
          <w:tcPr>
            <w:tcW w:w="2552" w:type="dxa"/>
            <w:shd w:val="clear" w:color="auto" w:fill="auto"/>
          </w:tcPr>
          <w:p w:rsidR="002D47F2" w:rsidRDefault="002D47F2" w:rsidP="00E273DA">
            <w:r>
              <w:t>Licences</w:t>
            </w:r>
          </w:p>
        </w:tc>
        <w:tc>
          <w:tcPr>
            <w:tcW w:w="1306" w:type="dxa"/>
            <w:shd w:val="clear" w:color="auto" w:fill="auto"/>
          </w:tcPr>
          <w:p w:rsidR="002D47F2" w:rsidRPr="00D45B10" w:rsidRDefault="002D47F2" w:rsidP="00E273DA">
            <w:pPr>
              <w:rPr>
                <w:rFonts w:cs="Arial"/>
              </w:rPr>
            </w:pPr>
            <w:r>
              <w:rPr>
                <w:rFonts w:cs="Arial"/>
              </w:rPr>
              <w:t>Yes</w:t>
            </w:r>
          </w:p>
        </w:tc>
        <w:tc>
          <w:tcPr>
            <w:tcW w:w="2946" w:type="dxa"/>
          </w:tcPr>
          <w:p w:rsidR="002D47F2" w:rsidRPr="008629A7" w:rsidRDefault="002D47F2" w:rsidP="00E273DA">
            <w:r w:rsidRPr="008629A7">
              <w:t>No</w:t>
            </w:r>
          </w:p>
        </w:tc>
        <w:tc>
          <w:tcPr>
            <w:tcW w:w="1951" w:type="dxa"/>
            <w:shd w:val="clear" w:color="auto" w:fill="auto"/>
          </w:tcPr>
          <w:p w:rsidR="002D47F2" w:rsidRPr="008629A7" w:rsidRDefault="00E90975" w:rsidP="00E273DA">
            <w:hyperlink w:anchor="ix" w:history="1">
              <w:r w:rsidR="002D47F2" w:rsidRPr="008629A7">
                <w:rPr>
                  <w:rStyle w:val="Hyperlink"/>
                  <w:color w:val="auto"/>
                  <w:u w:val="none"/>
                </w:rPr>
                <w:t>(ix)</w:t>
              </w:r>
            </w:hyperlink>
          </w:p>
        </w:tc>
      </w:tr>
    </w:tbl>
    <w:p w:rsidR="002D47F2" w:rsidRDefault="002D47F2" w:rsidP="00E273DA">
      <w:pPr>
        <w:pStyle w:val="NormalIndent"/>
        <w:rPr>
          <w:b/>
        </w:rPr>
      </w:pPr>
      <w:bookmarkStart w:id="42" w:name="_Ref477083139"/>
      <w:r w:rsidRPr="0098478F">
        <w:t>Importantly, under Tongan law, land is classified as real property, while buildings are classified as chattels.</w:t>
      </w:r>
      <w:r w:rsidRPr="0098478F">
        <w:rPr>
          <w:vertAlign w:val="superscript"/>
        </w:rPr>
        <w:footnoteReference w:id="9"/>
      </w:r>
      <w:r w:rsidRPr="0098478F">
        <w:t xml:space="preserve"> </w:t>
      </w:r>
      <w:r>
        <w:t>The implications of this classification are explained in the following sections.</w:t>
      </w:r>
    </w:p>
    <w:p w:rsidR="002D47F2" w:rsidRPr="00D52502" w:rsidRDefault="002D47F2" w:rsidP="00E273DA">
      <w:pPr>
        <w:pStyle w:val="AllensHeading4"/>
        <w:rPr>
          <w:b/>
        </w:rPr>
      </w:pPr>
      <w:bookmarkStart w:id="43" w:name="Hereditary_estates"/>
      <w:bookmarkStart w:id="44" w:name="i"/>
      <w:r w:rsidRPr="00D52502">
        <w:rPr>
          <w:b/>
        </w:rPr>
        <w:t>Hereditary estates</w:t>
      </w:r>
      <w:bookmarkEnd w:id="42"/>
    </w:p>
    <w:bookmarkEnd w:id="43"/>
    <w:bookmarkEnd w:id="44"/>
    <w:p w:rsidR="002D47F2" w:rsidRDefault="002D47F2" w:rsidP="00E273DA">
      <w:pPr>
        <w:pStyle w:val="Bullet2"/>
        <w:numPr>
          <w:ilvl w:val="0"/>
          <w:numId w:val="0"/>
        </w:numPr>
        <w:ind w:left="1418"/>
      </w:pPr>
      <w:r>
        <w:t xml:space="preserve">A </w:t>
      </w:r>
      <w:r w:rsidRPr="00657ADF">
        <w:rPr>
          <w:b/>
        </w:rPr>
        <w:t>hereditary estate</w:t>
      </w:r>
      <w:r>
        <w:t xml:space="preserve"> is a life interest held individually by a Noble (</w:t>
      </w:r>
      <w:proofErr w:type="spellStart"/>
      <w:r w:rsidRPr="00657ADF">
        <w:rPr>
          <w:i/>
        </w:rPr>
        <w:t>tofia</w:t>
      </w:r>
      <w:proofErr w:type="spellEnd"/>
      <w:r>
        <w:t>)</w:t>
      </w:r>
      <w:r>
        <w:rPr>
          <w:i/>
        </w:rPr>
        <w:t xml:space="preserve"> </w:t>
      </w:r>
      <w:r>
        <w:t>or a Chief (</w:t>
      </w:r>
      <w:proofErr w:type="spellStart"/>
      <w:r w:rsidRPr="007960FD">
        <w:rPr>
          <w:i/>
        </w:rPr>
        <w:t>matapule</w:t>
      </w:r>
      <w:proofErr w:type="spellEnd"/>
      <w:r>
        <w:t xml:space="preserve">); it is passed from generation to generation pursuant to the rules of succession, which are discussed in section </w:t>
      </w:r>
      <w:r>
        <w:fldChar w:fldCharType="begin"/>
      </w:r>
      <w:r>
        <w:instrText xml:space="preserve"> REF _Ref473972252 \r \h </w:instrText>
      </w:r>
      <w:r>
        <w:fldChar w:fldCharType="separate"/>
      </w:r>
      <w:r w:rsidR="00961367">
        <w:t>(x)</w:t>
      </w:r>
      <w:r>
        <w:fldChar w:fldCharType="end"/>
      </w:r>
      <w:r>
        <w:t xml:space="preserve"> below.</w:t>
      </w:r>
      <w:r>
        <w:rPr>
          <w:rStyle w:val="FootnoteReference"/>
        </w:rPr>
        <w:footnoteReference w:id="10"/>
      </w:r>
    </w:p>
    <w:p w:rsidR="002D47F2" w:rsidRDefault="002D47F2" w:rsidP="00E273DA">
      <w:pPr>
        <w:pStyle w:val="Bullet2"/>
        <w:numPr>
          <w:ilvl w:val="0"/>
          <w:numId w:val="0"/>
        </w:numPr>
        <w:ind w:left="1418"/>
      </w:pPr>
      <w:r>
        <w:t>Many Nobles and Chiefs have more than one hereditary estate.</w:t>
      </w:r>
      <w:r>
        <w:rPr>
          <w:rStyle w:val="FootnoteReference"/>
        </w:rPr>
        <w:footnoteReference w:id="11"/>
      </w:r>
      <w:r>
        <w:t xml:space="preserve"> Schedule I to the </w:t>
      </w:r>
      <w:r w:rsidRPr="00446254">
        <w:rPr>
          <w:i/>
        </w:rPr>
        <w:t>Land Act</w:t>
      </w:r>
      <w:r w:rsidRPr="00446254">
        <w:t xml:space="preserve"> </w:t>
      </w:r>
      <w:r>
        <w:t>provides a list of all of the hereditary estates in Tonga and the title of the Noble or Chief entitled to each estate. Given that a Noble or Chief must be a male Tongan, a woman or foreigner cannot hold a hereditary estate.</w:t>
      </w:r>
    </w:p>
    <w:p w:rsidR="002D47F2" w:rsidRDefault="002D47F2" w:rsidP="00E273DA">
      <w:pPr>
        <w:pStyle w:val="Bullet2"/>
        <w:numPr>
          <w:ilvl w:val="0"/>
          <w:numId w:val="0"/>
        </w:numPr>
        <w:ind w:left="1418"/>
      </w:pPr>
      <w:r>
        <w:rPr>
          <w:rFonts w:cs="Arial"/>
        </w:rPr>
        <w:t xml:space="preserve">The holder of a hereditary estate may use his land as he thinks fit, with the notable exception that he may not transfer his estate, or any part of his estate, to another person. He may, however, </w:t>
      </w:r>
      <w:r>
        <w:t>mortgage the land and/or issue leases or permits to persons to use the land.</w:t>
      </w:r>
      <w:r>
        <w:rPr>
          <w:rStyle w:val="FootnoteReference"/>
        </w:rPr>
        <w:footnoteReference w:id="12"/>
      </w:r>
      <w:r>
        <w:t xml:space="preserve"> The holder of a hereditary estate may not mortgage or lease the portions of his estate which have been granted as tax or town allotments.</w:t>
      </w:r>
      <w:r>
        <w:rPr>
          <w:rStyle w:val="FootnoteReference"/>
        </w:rPr>
        <w:footnoteReference w:id="13"/>
      </w:r>
    </w:p>
    <w:p w:rsidR="002D47F2" w:rsidRPr="00D52502" w:rsidRDefault="002D47F2" w:rsidP="00E273DA">
      <w:pPr>
        <w:pStyle w:val="AllensHeading4"/>
        <w:rPr>
          <w:b/>
        </w:rPr>
      </w:pPr>
      <w:bookmarkStart w:id="45" w:name="Crown_land"/>
      <w:bookmarkStart w:id="46" w:name="_Ref477083168"/>
      <w:bookmarkStart w:id="47" w:name="ii"/>
      <w:r w:rsidRPr="00D52502">
        <w:rPr>
          <w:b/>
        </w:rPr>
        <w:t xml:space="preserve">Crown land </w:t>
      </w:r>
      <w:bookmarkEnd w:id="45"/>
      <w:r w:rsidRPr="00D52502">
        <w:rPr>
          <w:b/>
        </w:rPr>
        <w:t>and royal estates</w:t>
      </w:r>
      <w:bookmarkEnd w:id="46"/>
    </w:p>
    <w:bookmarkEnd w:id="47"/>
    <w:p w:rsidR="002D47F2" w:rsidRDefault="002D47F2" w:rsidP="00E273DA">
      <w:pPr>
        <w:pStyle w:val="Bullet2"/>
        <w:numPr>
          <w:ilvl w:val="0"/>
          <w:numId w:val="0"/>
        </w:numPr>
        <w:ind w:left="1418"/>
      </w:pPr>
      <w:r>
        <w:lastRenderedPageBreak/>
        <w:t xml:space="preserve">All land that is not subject to a hereditary estate is referred to as </w:t>
      </w:r>
      <w:r w:rsidRPr="006C2499">
        <w:rPr>
          <w:b/>
        </w:rPr>
        <w:t>Crown Land</w:t>
      </w:r>
      <w:r>
        <w:t>.</w:t>
      </w:r>
      <w:r>
        <w:rPr>
          <w:rStyle w:val="FootnoteReference"/>
        </w:rPr>
        <w:footnoteReference w:id="14"/>
      </w:r>
      <w:r>
        <w:t xml:space="preserve"> Portions of Crown Land are subject to </w:t>
      </w:r>
      <w:r w:rsidRPr="006C2499">
        <w:rPr>
          <w:b/>
        </w:rPr>
        <w:t>Royal Estates</w:t>
      </w:r>
      <w:r>
        <w:t xml:space="preserve"> or </w:t>
      </w:r>
      <w:r w:rsidRPr="006C2499">
        <w:rPr>
          <w:b/>
        </w:rPr>
        <w:t>Royal Family Estates</w:t>
      </w:r>
      <w:r>
        <w:t xml:space="preserve">; the remainder is </w:t>
      </w:r>
      <w:r w:rsidRPr="00617FB4">
        <w:t>administered by the Minister of Lands on behalf of the Crown</w:t>
      </w:r>
      <w:r>
        <w:t>.</w:t>
      </w:r>
      <w:r>
        <w:rPr>
          <w:rStyle w:val="FootnoteReference"/>
        </w:rPr>
        <w:footnoteReference w:id="15"/>
      </w:r>
    </w:p>
    <w:p w:rsidR="002D47F2" w:rsidRDefault="002D47F2" w:rsidP="00E273DA">
      <w:pPr>
        <w:pStyle w:val="Bullet2"/>
        <w:numPr>
          <w:ilvl w:val="0"/>
          <w:numId w:val="0"/>
        </w:numPr>
        <w:ind w:left="1418"/>
      </w:pPr>
      <w:r>
        <w:t xml:space="preserve">A Royal Estate is a life interest for the exclusive use of the Sovereign, meaning King </w:t>
      </w:r>
      <w:proofErr w:type="spellStart"/>
      <w:r>
        <w:rPr>
          <w:lang w:val="en"/>
        </w:rPr>
        <w:t>Tupou</w:t>
      </w:r>
      <w:proofErr w:type="spellEnd"/>
      <w:r>
        <w:rPr>
          <w:lang w:val="en"/>
        </w:rPr>
        <w:t xml:space="preserve"> VI</w:t>
      </w:r>
      <w:r>
        <w:t>. A Royal Family Estate is a life interest for the exclusive use of a member of the Royal Family.</w:t>
      </w:r>
      <w:r>
        <w:rPr>
          <w:rStyle w:val="FootnoteReference"/>
        </w:rPr>
        <w:footnoteReference w:id="16"/>
      </w:r>
      <w:r>
        <w:t xml:space="preserve"> Schedule II to the </w:t>
      </w:r>
      <w:r w:rsidRPr="0020008B">
        <w:rPr>
          <w:i/>
        </w:rPr>
        <w:t>Land Act</w:t>
      </w:r>
      <w:r>
        <w:t xml:space="preserve"> contains a list of all of the Royal Estates; Schedule III contains a list of all of the Royal Family Estates.</w:t>
      </w:r>
    </w:p>
    <w:p w:rsidR="002D47F2" w:rsidRDefault="002D47F2" w:rsidP="00E273DA">
      <w:pPr>
        <w:pStyle w:val="Bullet2"/>
        <w:numPr>
          <w:ilvl w:val="0"/>
          <w:numId w:val="0"/>
        </w:numPr>
        <w:ind w:left="1418"/>
      </w:pPr>
      <w:r>
        <w:t xml:space="preserve">The foreshore in Tonga is </w:t>
      </w:r>
      <w:r w:rsidRPr="00BD1446">
        <w:rPr>
          <w:i/>
        </w:rPr>
        <w:t>always</w:t>
      </w:r>
      <w:r>
        <w:t xml:space="preserve"> Crown Land.</w:t>
      </w:r>
      <w:r>
        <w:rPr>
          <w:rStyle w:val="FootnoteReference"/>
        </w:rPr>
        <w:footnoteReference w:id="17"/>
      </w:r>
      <w:r>
        <w:t xml:space="preserve"> The Minister may, with the consent of Cabinet, grant leases or permits allowing persons to reside on the foreshore, or to erect stores, wharves or jetties on the foreshore.</w:t>
      </w:r>
      <w:r>
        <w:rPr>
          <w:rStyle w:val="FootnoteReference"/>
        </w:rPr>
        <w:footnoteReference w:id="18"/>
      </w:r>
    </w:p>
    <w:p w:rsidR="002D47F2" w:rsidRPr="00D52502" w:rsidRDefault="002D47F2" w:rsidP="00E273DA">
      <w:pPr>
        <w:pStyle w:val="AllensHeading4"/>
        <w:rPr>
          <w:b/>
        </w:rPr>
      </w:pPr>
      <w:bookmarkStart w:id="48" w:name="Town_allot"/>
      <w:bookmarkStart w:id="49" w:name="_Ref472869062"/>
      <w:bookmarkStart w:id="50" w:name="iii"/>
      <w:r w:rsidRPr="00D52502">
        <w:rPr>
          <w:b/>
        </w:rPr>
        <w:t xml:space="preserve">Town </w:t>
      </w:r>
      <w:bookmarkEnd w:id="48"/>
      <w:r w:rsidRPr="00D52502">
        <w:rPr>
          <w:b/>
        </w:rPr>
        <w:t xml:space="preserve">and </w:t>
      </w:r>
      <w:bookmarkStart w:id="51" w:name="Tax_allot"/>
      <w:r w:rsidRPr="00D52502">
        <w:rPr>
          <w:b/>
        </w:rPr>
        <w:t xml:space="preserve">tax </w:t>
      </w:r>
      <w:bookmarkEnd w:id="51"/>
      <w:r w:rsidRPr="00D52502">
        <w:rPr>
          <w:b/>
        </w:rPr>
        <w:t>allotments</w:t>
      </w:r>
      <w:bookmarkEnd w:id="49"/>
    </w:p>
    <w:bookmarkEnd w:id="50"/>
    <w:p w:rsidR="002D47F2" w:rsidRDefault="002D47F2" w:rsidP="00E273DA">
      <w:pPr>
        <w:pStyle w:val="Bullet2"/>
        <w:numPr>
          <w:ilvl w:val="0"/>
          <w:numId w:val="0"/>
        </w:numPr>
        <w:ind w:left="1418"/>
        <w:rPr>
          <w:rFonts w:cs="Arial"/>
        </w:rPr>
      </w:pPr>
      <w:r>
        <w:rPr>
          <w:rFonts w:cs="Arial"/>
        </w:rPr>
        <w:t xml:space="preserve">The </w:t>
      </w:r>
      <w:r w:rsidRPr="0020008B">
        <w:rPr>
          <w:rFonts w:cs="Arial"/>
          <w:i/>
        </w:rPr>
        <w:t>Land Act</w:t>
      </w:r>
      <w:r>
        <w:rPr>
          <w:rFonts w:cs="Arial"/>
        </w:rPr>
        <w:t xml:space="preserve"> establishes two main types of allotments, which are life interests in land. </w:t>
      </w:r>
      <w:r w:rsidRPr="00E037CD">
        <w:rPr>
          <w:rFonts w:cs="Arial"/>
          <w:b/>
        </w:rPr>
        <w:t>Town allotments</w:t>
      </w:r>
      <w:r w:rsidRPr="00E037CD">
        <w:rPr>
          <w:rFonts w:cs="Arial"/>
        </w:rPr>
        <w:t xml:space="preserve"> </w:t>
      </w:r>
      <w:r>
        <w:rPr>
          <w:rFonts w:cs="Arial"/>
        </w:rPr>
        <w:t>(</w:t>
      </w:r>
      <w:proofErr w:type="spellStart"/>
      <w:proofErr w:type="gramStart"/>
      <w:r w:rsidRPr="007B17C3">
        <w:rPr>
          <w:rFonts w:cs="Arial"/>
          <w:i/>
        </w:rPr>
        <w:t>api</w:t>
      </w:r>
      <w:proofErr w:type="spellEnd"/>
      <w:proofErr w:type="gramEnd"/>
      <w:r w:rsidRPr="007B17C3">
        <w:rPr>
          <w:rFonts w:cs="Arial"/>
          <w:i/>
        </w:rPr>
        <w:t xml:space="preserve"> </w:t>
      </w:r>
      <w:proofErr w:type="spellStart"/>
      <w:r w:rsidRPr="007B17C3">
        <w:rPr>
          <w:rFonts w:cs="Arial"/>
          <w:i/>
        </w:rPr>
        <w:t>kolo</w:t>
      </w:r>
      <w:proofErr w:type="spellEnd"/>
      <w:r>
        <w:rPr>
          <w:rFonts w:cs="Arial"/>
        </w:rPr>
        <w:t xml:space="preserve">) </w:t>
      </w:r>
      <w:r w:rsidRPr="00E037CD">
        <w:rPr>
          <w:rFonts w:cs="Arial"/>
        </w:rPr>
        <w:t xml:space="preserve">are intended for </w:t>
      </w:r>
      <w:r>
        <w:rPr>
          <w:rFonts w:cs="Arial"/>
        </w:rPr>
        <w:t>residential use</w:t>
      </w:r>
      <w:r w:rsidRPr="00E037CD">
        <w:rPr>
          <w:rFonts w:cs="Arial"/>
        </w:rPr>
        <w:t xml:space="preserve">, while </w:t>
      </w:r>
      <w:r w:rsidRPr="00E037CD">
        <w:rPr>
          <w:rFonts w:cs="Arial"/>
          <w:b/>
        </w:rPr>
        <w:t>tax allotments</w:t>
      </w:r>
      <w:r w:rsidRPr="00E037CD">
        <w:rPr>
          <w:rFonts w:cs="Arial"/>
        </w:rPr>
        <w:t xml:space="preserve"> </w:t>
      </w:r>
      <w:r>
        <w:rPr>
          <w:rFonts w:cs="Arial"/>
        </w:rPr>
        <w:t>(</w:t>
      </w:r>
      <w:proofErr w:type="spellStart"/>
      <w:r w:rsidRPr="007B17C3">
        <w:rPr>
          <w:rFonts w:cs="Arial"/>
          <w:i/>
        </w:rPr>
        <w:t>api</w:t>
      </w:r>
      <w:proofErr w:type="spellEnd"/>
      <w:r w:rsidRPr="007B17C3">
        <w:rPr>
          <w:rFonts w:cs="Arial"/>
          <w:i/>
        </w:rPr>
        <w:t xml:space="preserve"> </w:t>
      </w:r>
      <w:proofErr w:type="spellStart"/>
      <w:r w:rsidRPr="007B17C3">
        <w:rPr>
          <w:rFonts w:cs="Arial"/>
          <w:i/>
        </w:rPr>
        <w:t>tukuhau</w:t>
      </w:r>
      <w:proofErr w:type="spellEnd"/>
      <w:r>
        <w:rPr>
          <w:rFonts w:cs="Arial"/>
          <w:i/>
        </w:rPr>
        <w:t xml:space="preserve">) </w:t>
      </w:r>
      <w:r>
        <w:rPr>
          <w:rFonts w:cs="Arial"/>
        </w:rPr>
        <w:t>are intended for agricultural use.</w:t>
      </w:r>
      <w:r>
        <w:rPr>
          <w:rStyle w:val="FootnoteReference"/>
          <w:rFonts w:cs="Arial"/>
        </w:rPr>
        <w:footnoteReference w:id="19"/>
      </w:r>
    </w:p>
    <w:p w:rsidR="002D47F2" w:rsidRDefault="002D47F2" w:rsidP="00E273DA">
      <w:pPr>
        <w:pStyle w:val="Bullet2"/>
        <w:numPr>
          <w:ilvl w:val="0"/>
          <w:numId w:val="0"/>
        </w:numPr>
        <w:ind w:left="1418"/>
      </w:pPr>
      <w:r>
        <w:rPr>
          <w:rFonts w:cs="Arial"/>
        </w:rPr>
        <w:t xml:space="preserve">An allotment can only be held individually by a Tongan male and is </w:t>
      </w:r>
      <w:r>
        <w:t xml:space="preserve">passed from generation to generation pursuant to the rules of succession, which are discussed in section </w:t>
      </w:r>
      <w:r>
        <w:fldChar w:fldCharType="begin"/>
      </w:r>
      <w:r>
        <w:instrText xml:space="preserve"> REF _Ref473972252 \r \h </w:instrText>
      </w:r>
      <w:r>
        <w:fldChar w:fldCharType="separate"/>
      </w:r>
      <w:r w:rsidR="00961367">
        <w:t>(x)</w:t>
      </w:r>
      <w:r>
        <w:fldChar w:fldCharType="end"/>
      </w:r>
      <w:r>
        <w:t xml:space="preserve"> below.</w:t>
      </w:r>
      <w:r>
        <w:rPr>
          <w:rStyle w:val="FootnoteReference"/>
        </w:rPr>
        <w:footnoteReference w:id="20"/>
      </w:r>
      <w:r>
        <w:t xml:space="preserve"> As discussed in section </w:t>
      </w:r>
      <w:r>
        <w:fldChar w:fldCharType="begin"/>
      </w:r>
      <w:r>
        <w:instrText xml:space="preserve"> REF _Ref473989892 \r \h </w:instrText>
      </w:r>
      <w:r>
        <w:fldChar w:fldCharType="separate"/>
      </w:r>
      <w:r w:rsidR="00961367">
        <w:t>3.1</w:t>
      </w:r>
      <w:r>
        <w:fldChar w:fldCharType="end"/>
      </w:r>
      <w:r>
        <w:t xml:space="preserve"> below, allotments may only be held by women in very limited circumstances.</w:t>
      </w:r>
    </w:p>
    <w:p w:rsidR="002D47F2" w:rsidRDefault="002D47F2" w:rsidP="00E273DA">
      <w:pPr>
        <w:pStyle w:val="Bullet2"/>
        <w:numPr>
          <w:ilvl w:val="0"/>
          <w:numId w:val="0"/>
        </w:numPr>
        <w:ind w:left="1418"/>
      </w:pPr>
      <w:r w:rsidRPr="00C43987">
        <w:t xml:space="preserve">Allotments are normally </w:t>
      </w:r>
      <w:r>
        <w:t xml:space="preserve">located on and </w:t>
      </w:r>
      <w:r w:rsidRPr="00C43987">
        <w:t>granted</w:t>
      </w:r>
      <w:r>
        <w:t xml:space="preserve"> out of</w:t>
      </w:r>
      <w:r w:rsidRPr="00C43987">
        <w:t xml:space="preserve"> hereditary estates, rather than Crown Land. </w:t>
      </w:r>
      <w:r>
        <w:t xml:space="preserve">This is because there is a relatively small amount of Crown land compared to hereditary estate land. </w:t>
      </w:r>
      <w:r w:rsidRPr="00C43987">
        <w:t xml:space="preserve">Allotments are only granted out of Crown land if land is </w:t>
      </w:r>
      <w:r>
        <w:t xml:space="preserve">not </w:t>
      </w:r>
      <w:r w:rsidRPr="00C43987">
        <w:t>available in an</w:t>
      </w:r>
      <w:r>
        <w:t xml:space="preserve"> appropriate</w:t>
      </w:r>
      <w:r w:rsidRPr="00C43987">
        <w:t xml:space="preserve"> hereditary estate.</w:t>
      </w:r>
      <w:r w:rsidRPr="00C43987">
        <w:rPr>
          <w:vertAlign w:val="superscript"/>
        </w:rPr>
        <w:footnoteReference w:id="21"/>
      </w:r>
    </w:p>
    <w:p w:rsidR="002D47F2" w:rsidRDefault="002D47F2" w:rsidP="00E273DA">
      <w:pPr>
        <w:pStyle w:val="Bullet2"/>
        <w:numPr>
          <w:ilvl w:val="0"/>
          <w:numId w:val="0"/>
        </w:numPr>
        <w:ind w:left="1418"/>
      </w:pPr>
      <w:r w:rsidRPr="00C43987">
        <w:t>The holder of a tax allotment is required to pay rent, as appropriate, to: (1) the Noble or Chief who holds the hereditary estate; or (2) the Crown.</w:t>
      </w:r>
      <w:r w:rsidRPr="00C43987">
        <w:rPr>
          <w:vertAlign w:val="superscript"/>
        </w:rPr>
        <w:footnoteReference w:id="22"/>
      </w:r>
      <w:r w:rsidRPr="00C43987">
        <w:t xml:space="preserve"> The amount of rent is prescribed by the </w:t>
      </w:r>
      <w:r w:rsidRPr="00C43987">
        <w:rPr>
          <w:i/>
        </w:rPr>
        <w:t>Land Act</w:t>
      </w:r>
      <w:r w:rsidRPr="00C43987">
        <w:t>.</w:t>
      </w:r>
      <w:r>
        <w:rPr>
          <w:rStyle w:val="FootnoteReference"/>
        </w:rPr>
        <w:footnoteReference w:id="23"/>
      </w:r>
      <w:r w:rsidRPr="00C43987">
        <w:t xml:space="preserve"> The holder of a town allotment is not required to pay rent.</w:t>
      </w:r>
    </w:p>
    <w:p w:rsidR="002D47F2" w:rsidRDefault="002D47F2" w:rsidP="00E273DA">
      <w:pPr>
        <w:pStyle w:val="Bullet2"/>
        <w:numPr>
          <w:ilvl w:val="0"/>
          <w:numId w:val="0"/>
        </w:numPr>
        <w:ind w:left="1418"/>
        <w:rPr>
          <w:rFonts w:cs="Arial"/>
        </w:rPr>
      </w:pPr>
      <w:r>
        <w:rPr>
          <w:rFonts w:cs="Arial"/>
        </w:rPr>
        <w:t xml:space="preserve">An allotment holder may use his land as he thinks fit, </w:t>
      </w:r>
      <w:r w:rsidRPr="00AB06E5">
        <w:rPr>
          <w:rFonts w:cs="Arial"/>
        </w:rPr>
        <w:t xml:space="preserve">with the notable exception that he may not transfer his </w:t>
      </w:r>
      <w:r>
        <w:rPr>
          <w:rFonts w:cs="Arial"/>
        </w:rPr>
        <w:t>allotment</w:t>
      </w:r>
      <w:r w:rsidRPr="00AB06E5">
        <w:rPr>
          <w:rFonts w:cs="Arial"/>
        </w:rPr>
        <w:t xml:space="preserve">, or any part of his </w:t>
      </w:r>
      <w:r>
        <w:rPr>
          <w:rFonts w:cs="Arial"/>
        </w:rPr>
        <w:t>allotment</w:t>
      </w:r>
      <w:r w:rsidRPr="00AB06E5">
        <w:rPr>
          <w:rFonts w:cs="Arial"/>
        </w:rPr>
        <w:t>, to another pers</w:t>
      </w:r>
      <w:r>
        <w:rPr>
          <w:rFonts w:cs="Arial"/>
        </w:rPr>
        <w:t xml:space="preserve">on. Similar to the holder of a hereditary estate, an allotment holder may </w:t>
      </w:r>
      <w:r w:rsidRPr="00AB06E5">
        <w:rPr>
          <w:rFonts w:cs="Arial"/>
        </w:rPr>
        <w:t>mortgage the land, and/or issue leases or permits to persons to use the land.</w:t>
      </w:r>
      <w:r>
        <w:rPr>
          <w:rStyle w:val="FootnoteReference"/>
          <w:rFonts w:cs="Arial"/>
        </w:rPr>
        <w:footnoteReference w:id="24"/>
      </w:r>
    </w:p>
    <w:p w:rsidR="002D47F2" w:rsidRDefault="002D47F2" w:rsidP="00E273DA">
      <w:pPr>
        <w:ind w:left="1418"/>
        <w:rPr>
          <w:rFonts w:eastAsiaTheme="minorEastAsia" w:cs="Arial"/>
          <w:iCs/>
        </w:rPr>
      </w:pPr>
      <w:r w:rsidRPr="005B0D96">
        <w:rPr>
          <w:rFonts w:cs="Arial"/>
        </w:rPr>
        <w:t xml:space="preserve">Every male Tongan by birth </w:t>
      </w:r>
      <w:r>
        <w:rPr>
          <w:rFonts w:cs="Arial"/>
        </w:rPr>
        <w:t xml:space="preserve">who attains </w:t>
      </w:r>
      <w:r w:rsidRPr="005B0D96">
        <w:rPr>
          <w:rFonts w:cs="Arial"/>
        </w:rPr>
        <w:t xml:space="preserve">16 years </w:t>
      </w:r>
      <w:r>
        <w:rPr>
          <w:rFonts w:cs="Arial"/>
        </w:rPr>
        <w:t>of age or older is entitled to one</w:t>
      </w:r>
      <w:r w:rsidRPr="005B0D96">
        <w:rPr>
          <w:rFonts w:cs="Arial"/>
        </w:rPr>
        <w:t xml:space="preserve"> town allotment </w:t>
      </w:r>
      <w:r w:rsidRPr="00617FB4">
        <w:rPr>
          <w:rFonts w:cs="Arial"/>
          <w:i/>
        </w:rPr>
        <w:t>and</w:t>
      </w:r>
      <w:r>
        <w:rPr>
          <w:rFonts w:cs="Arial"/>
        </w:rPr>
        <w:t xml:space="preserve"> one</w:t>
      </w:r>
      <w:r w:rsidRPr="005B0D96">
        <w:rPr>
          <w:rFonts w:cs="Arial"/>
        </w:rPr>
        <w:t xml:space="preserve"> tax allotment</w:t>
      </w:r>
      <w:r>
        <w:rPr>
          <w:rFonts w:cs="Arial"/>
        </w:rPr>
        <w:t>.</w:t>
      </w:r>
      <w:r w:rsidRPr="005B0D96">
        <w:rPr>
          <w:rFonts w:cs="Arial"/>
          <w:vertAlign w:val="superscript"/>
        </w:rPr>
        <w:footnoteReference w:id="25"/>
      </w:r>
      <w:r>
        <w:rPr>
          <w:rFonts w:cs="Arial"/>
        </w:rPr>
        <w:t xml:space="preserve"> </w:t>
      </w:r>
      <w:r>
        <w:rPr>
          <w:rFonts w:eastAsiaTheme="minorEastAsia" w:cs="Arial"/>
          <w:iCs/>
        </w:rPr>
        <w:t>A person is only Tongan by birth if:</w:t>
      </w:r>
    </w:p>
    <w:p w:rsidR="002D47F2" w:rsidRDefault="002D47F2" w:rsidP="00E273DA">
      <w:pPr>
        <w:pStyle w:val="Bullet2"/>
        <w:tabs>
          <w:tab w:val="clear" w:pos="1418"/>
          <w:tab w:val="num" w:pos="2127"/>
        </w:tabs>
        <w:ind w:left="2127"/>
        <w:rPr>
          <w:rFonts w:eastAsiaTheme="minorEastAsia"/>
        </w:rPr>
      </w:pPr>
      <w:r>
        <w:rPr>
          <w:rFonts w:eastAsiaTheme="minorEastAsia"/>
        </w:rPr>
        <w:t>they were born in Tonga to a Tongan parent; or</w:t>
      </w:r>
    </w:p>
    <w:p w:rsidR="002D47F2" w:rsidRDefault="002D47F2" w:rsidP="00E273DA">
      <w:pPr>
        <w:pStyle w:val="Bullet2"/>
        <w:ind w:left="2127"/>
        <w:rPr>
          <w:rFonts w:eastAsiaTheme="minorEastAsia"/>
        </w:rPr>
      </w:pPr>
      <w:proofErr w:type="gramStart"/>
      <w:r>
        <w:rPr>
          <w:rFonts w:eastAsiaTheme="minorEastAsia"/>
        </w:rPr>
        <w:lastRenderedPageBreak/>
        <w:t>they</w:t>
      </w:r>
      <w:proofErr w:type="gramEnd"/>
      <w:r>
        <w:rPr>
          <w:rFonts w:eastAsiaTheme="minorEastAsia"/>
        </w:rPr>
        <w:t xml:space="preserve"> were born abroad to a Tongan father or mother.</w:t>
      </w:r>
      <w:r>
        <w:rPr>
          <w:rStyle w:val="FootnoteReference"/>
          <w:rFonts w:eastAsiaTheme="minorEastAsia"/>
        </w:rPr>
        <w:footnoteReference w:id="26"/>
      </w:r>
    </w:p>
    <w:p w:rsidR="002D47F2" w:rsidRPr="00834850" w:rsidRDefault="002D47F2" w:rsidP="00E273DA">
      <w:pPr>
        <w:pStyle w:val="Bullet2"/>
        <w:numPr>
          <w:ilvl w:val="0"/>
          <w:numId w:val="0"/>
        </w:numPr>
        <w:ind w:left="1418"/>
        <w:rPr>
          <w:rFonts w:cs="Arial"/>
        </w:rPr>
      </w:pPr>
      <w:r w:rsidRPr="00834850">
        <w:rPr>
          <w:rFonts w:cs="Arial"/>
        </w:rPr>
        <w:t>If an eligible Tongan male has not inherited one or both types of allotment pursuant to the rules of succession, he may apply to the Minister of Lands for a tax and/or town allotment using the prescribed form.</w:t>
      </w:r>
      <w:r>
        <w:rPr>
          <w:rStyle w:val="FootnoteReference"/>
          <w:rFonts w:cs="Arial"/>
        </w:rPr>
        <w:footnoteReference w:id="27"/>
      </w:r>
    </w:p>
    <w:p w:rsidR="002D47F2" w:rsidRDefault="002D47F2" w:rsidP="00E273DA">
      <w:pPr>
        <w:pStyle w:val="Bullet2"/>
        <w:numPr>
          <w:ilvl w:val="0"/>
          <w:numId w:val="0"/>
        </w:numPr>
        <w:ind w:left="1418"/>
        <w:rPr>
          <w:rFonts w:cs="Arial"/>
        </w:rPr>
      </w:pPr>
      <w:r>
        <w:rPr>
          <w:rFonts w:cs="Arial"/>
        </w:rPr>
        <w:t>In practice, however, there is insufficient land to meet new allotment applications. The Ministry of Lands normally informs applicants that no Crown land is available for the grant of new allotments, and advises them to attempt to find an allotment holder who is interested in surrendering or subdividing his land.</w:t>
      </w:r>
    </w:p>
    <w:p w:rsidR="002D47F2" w:rsidRDefault="002D47F2" w:rsidP="00E273DA">
      <w:pPr>
        <w:pStyle w:val="Bullet2"/>
        <w:numPr>
          <w:ilvl w:val="0"/>
          <w:numId w:val="0"/>
        </w:numPr>
        <w:ind w:left="1418"/>
        <w:rPr>
          <w:rFonts w:cs="Arial"/>
        </w:rPr>
      </w:pPr>
      <w:r>
        <w:rPr>
          <w:rFonts w:cs="Arial"/>
        </w:rPr>
        <w:t xml:space="preserve">It is common for an extended family to live on a town allotment, notwithstanding the fact that the only </w:t>
      </w:r>
      <w:r w:rsidRPr="00426768">
        <w:rPr>
          <w:rFonts w:cs="Arial"/>
          <w:i/>
        </w:rPr>
        <w:t>legal</w:t>
      </w:r>
      <w:r>
        <w:rPr>
          <w:rFonts w:cs="Arial"/>
        </w:rPr>
        <w:t xml:space="preserve"> owner of the allotment is the male heir or grantee.</w:t>
      </w:r>
      <w:r>
        <w:rPr>
          <w:rStyle w:val="FootnoteReference"/>
          <w:rFonts w:cs="Arial"/>
        </w:rPr>
        <w:footnoteReference w:id="28"/>
      </w:r>
      <w:r>
        <w:rPr>
          <w:rFonts w:cs="Arial"/>
        </w:rPr>
        <w:t xml:space="preserve"> In this situation, the remaining family members do not have legal entitlements to occupy the land; they rely on the male allotment holder's good will, which is informed by cultural norms and expectations. This is discussed further in section </w:t>
      </w:r>
      <w:r>
        <w:rPr>
          <w:rFonts w:cs="Arial"/>
        </w:rPr>
        <w:fldChar w:fldCharType="begin"/>
      </w:r>
      <w:r>
        <w:rPr>
          <w:rFonts w:cs="Arial"/>
        </w:rPr>
        <w:instrText xml:space="preserve"> REF _Ref473989892 \r \h </w:instrText>
      </w:r>
      <w:r>
        <w:rPr>
          <w:rFonts w:cs="Arial"/>
        </w:rPr>
      </w:r>
      <w:r>
        <w:rPr>
          <w:rFonts w:cs="Arial"/>
        </w:rPr>
        <w:fldChar w:fldCharType="separate"/>
      </w:r>
      <w:r w:rsidR="00961367">
        <w:rPr>
          <w:rFonts w:cs="Arial"/>
        </w:rPr>
        <w:t>3.1</w:t>
      </w:r>
      <w:r>
        <w:rPr>
          <w:rFonts w:cs="Arial"/>
        </w:rPr>
        <w:fldChar w:fldCharType="end"/>
      </w:r>
      <w:r>
        <w:rPr>
          <w:rFonts w:cs="Arial"/>
        </w:rPr>
        <w:t xml:space="preserve"> below.</w:t>
      </w:r>
    </w:p>
    <w:p w:rsidR="002D47F2" w:rsidRPr="009C054A" w:rsidRDefault="002D47F2" w:rsidP="00E273DA">
      <w:pPr>
        <w:pStyle w:val="AllensHeading4"/>
        <w:rPr>
          <w:b/>
        </w:rPr>
      </w:pPr>
      <w:bookmarkStart w:id="52" w:name="_Ref472853588"/>
      <w:bookmarkStart w:id="53" w:name="Lease"/>
      <w:bookmarkStart w:id="54" w:name="iv"/>
      <w:r w:rsidRPr="009C054A">
        <w:rPr>
          <w:b/>
        </w:rPr>
        <w:t>Leases</w:t>
      </w:r>
      <w:bookmarkEnd w:id="52"/>
      <w:bookmarkEnd w:id="53"/>
      <w:r>
        <w:rPr>
          <w:b/>
        </w:rPr>
        <w:t xml:space="preserve"> and </w:t>
      </w:r>
      <w:bookmarkStart w:id="55" w:name="sub_leases"/>
      <w:r>
        <w:rPr>
          <w:b/>
        </w:rPr>
        <w:t>sub-leases</w:t>
      </w:r>
      <w:bookmarkEnd w:id="55"/>
    </w:p>
    <w:bookmarkEnd w:id="54"/>
    <w:p w:rsidR="002D47F2" w:rsidRDefault="002D47F2" w:rsidP="00E273DA">
      <w:pPr>
        <w:pStyle w:val="Bullet2"/>
        <w:numPr>
          <w:ilvl w:val="0"/>
          <w:numId w:val="0"/>
        </w:numPr>
        <w:ind w:left="1418"/>
      </w:pPr>
      <w:r>
        <w:rPr>
          <w:rFonts w:cs="Arial"/>
        </w:rPr>
        <w:t>Unlike hereditary estates and allotments, leases may be held jointly, and by women or foreigners. As shown in the table below, a</w:t>
      </w:r>
      <w:r>
        <w:t xml:space="preserve"> leasehold interest may arise in relation to Crown Land, land that forms part of a hereditary estate, or land that forms part of an allotment.</w:t>
      </w:r>
    </w:p>
    <w:tbl>
      <w:tblPr>
        <w:tblStyle w:val="TableGrid1"/>
        <w:tblW w:w="0" w:type="auto"/>
        <w:tblInd w:w="1526" w:type="dxa"/>
        <w:tblLook w:val="04A0" w:firstRow="1" w:lastRow="0" w:firstColumn="1" w:lastColumn="0" w:noHBand="0" w:noVBand="1"/>
      </w:tblPr>
      <w:tblGrid>
        <w:gridCol w:w="1843"/>
        <w:gridCol w:w="6203"/>
      </w:tblGrid>
      <w:tr w:rsidR="002D47F2" w:rsidRPr="00C55E40" w:rsidTr="00E273DA">
        <w:tc>
          <w:tcPr>
            <w:tcW w:w="1843" w:type="dxa"/>
            <w:shd w:val="pct10" w:color="auto" w:fill="auto"/>
          </w:tcPr>
          <w:p w:rsidR="002D47F2" w:rsidRPr="00C55E40" w:rsidRDefault="002D47F2" w:rsidP="00E273DA">
            <w:pPr>
              <w:rPr>
                <w:rFonts w:cs="Arial"/>
                <w:b/>
              </w:rPr>
            </w:pPr>
            <w:r w:rsidRPr="00C55E40">
              <w:rPr>
                <w:rFonts w:cs="Arial"/>
                <w:b/>
              </w:rPr>
              <w:t>Crown land</w:t>
            </w:r>
          </w:p>
        </w:tc>
        <w:tc>
          <w:tcPr>
            <w:tcW w:w="6203" w:type="dxa"/>
          </w:tcPr>
          <w:p w:rsidR="002D47F2" w:rsidRPr="00C55E40" w:rsidRDefault="002D47F2" w:rsidP="00E273DA">
            <w:pPr>
              <w:rPr>
                <w:rFonts w:cs="Arial"/>
              </w:rPr>
            </w:pPr>
            <w:r w:rsidRPr="00C55E40">
              <w:t>The Minister of Lands may lease Crown Land.</w:t>
            </w:r>
          </w:p>
        </w:tc>
      </w:tr>
      <w:tr w:rsidR="002D47F2" w:rsidRPr="00C55E40" w:rsidTr="00E273DA">
        <w:tc>
          <w:tcPr>
            <w:tcW w:w="1843" w:type="dxa"/>
            <w:shd w:val="pct10" w:color="auto" w:fill="auto"/>
          </w:tcPr>
          <w:p w:rsidR="002D47F2" w:rsidRPr="00C55E40" w:rsidRDefault="002D47F2" w:rsidP="00E273DA">
            <w:pPr>
              <w:rPr>
                <w:rFonts w:cs="Arial"/>
                <w:b/>
              </w:rPr>
            </w:pPr>
            <w:r w:rsidRPr="00C55E40">
              <w:rPr>
                <w:rFonts w:cs="Arial"/>
                <w:b/>
              </w:rPr>
              <w:t>Hereditary estates</w:t>
            </w:r>
          </w:p>
        </w:tc>
        <w:tc>
          <w:tcPr>
            <w:tcW w:w="6203" w:type="dxa"/>
          </w:tcPr>
          <w:p w:rsidR="002D47F2" w:rsidRPr="00C55E40" w:rsidRDefault="002D47F2" w:rsidP="00E273DA">
            <w:r w:rsidRPr="00C55E40">
              <w:t>The registered holder of a hereditary estate may</w:t>
            </w:r>
            <w:r>
              <w:t xml:space="preserve">, with the consent of Cabinet, </w:t>
            </w:r>
            <w:r w:rsidRPr="00C55E40">
              <w:t>grant leases over up to 5 per cent of his estate.</w:t>
            </w:r>
            <w:r w:rsidRPr="00C55E40">
              <w:rPr>
                <w:vertAlign w:val="superscript"/>
              </w:rPr>
              <w:footnoteReference w:id="29"/>
            </w:r>
          </w:p>
          <w:p w:rsidR="002D47F2" w:rsidRPr="00C55E40" w:rsidRDefault="002D47F2" w:rsidP="00E273DA">
            <w:r w:rsidRPr="00C55E40">
              <w:t>A lease cannot be granted over land that has already been granted as allotments, or will be required for allotments within the term of the lease.</w:t>
            </w:r>
            <w:r w:rsidRPr="00C55E40">
              <w:rPr>
                <w:vertAlign w:val="superscript"/>
              </w:rPr>
              <w:footnoteReference w:id="30"/>
            </w:r>
          </w:p>
          <w:p w:rsidR="002D47F2" w:rsidRPr="00C55E40" w:rsidRDefault="002D47F2" w:rsidP="00E273DA">
            <w:pPr>
              <w:rPr>
                <w:rFonts w:cs="Arial"/>
              </w:rPr>
            </w:pPr>
            <w:r w:rsidRPr="00C55E40">
              <w:rPr>
                <w:rFonts w:cs="Arial"/>
              </w:rPr>
              <w:t>A portion of a hereditary estate cannot be leased for more than 99 years without the Crown's permission.</w:t>
            </w:r>
            <w:r w:rsidRPr="00C55E40">
              <w:rPr>
                <w:rFonts w:cs="Arial"/>
                <w:vertAlign w:val="superscript"/>
              </w:rPr>
              <w:footnoteReference w:id="31"/>
            </w:r>
          </w:p>
        </w:tc>
      </w:tr>
      <w:tr w:rsidR="002D47F2" w:rsidRPr="00C55E40" w:rsidTr="00E273DA">
        <w:tc>
          <w:tcPr>
            <w:tcW w:w="1843" w:type="dxa"/>
            <w:shd w:val="pct10" w:color="auto" w:fill="auto"/>
          </w:tcPr>
          <w:p w:rsidR="002D47F2" w:rsidRPr="00C55E40" w:rsidRDefault="002D47F2" w:rsidP="00E273DA">
            <w:pPr>
              <w:rPr>
                <w:rFonts w:cs="Arial"/>
                <w:b/>
              </w:rPr>
            </w:pPr>
            <w:r w:rsidRPr="00C55E40">
              <w:rPr>
                <w:rFonts w:cs="Arial"/>
                <w:b/>
              </w:rPr>
              <w:t>Allotments</w:t>
            </w:r>
          </w:p>
        </w:tc>
        <w:tc>
          <w:tcPr>
            <w:tcW w:w="6203" w:type="dxa"/>
          </w:tcPr>
          <w:p w:rsidR="002D47F2" w:rsidRPr="00C55E40" w:rsidRDefault="002D47F2" w:rsidP="00E273DA">
            <w:r w:rsidRPr="00C55E40">
              <w:t>The registered holder of a town or tax allotment may</w:t>
            </w:r>
            <w:r>
              <w:t xml:space="preserve">, with the consent of Cabinet, </w:t>
            </w:r>
            <w:r w:rsidRPr="00C55E40">
              <w:t>grant a lease over the whole or part of his allotment.</w:t>
            </w:r>
            <w:r w:rsidRPr="00C55E40">
              <w:rPr>
                <w:rFonts w:cs="Arial"/>
                <w:vertAlign w:val="superscript"/>
              </w:rPr>
              <w:footnoteReference w:id="32"/>
            </w:r>
          </w:p>
          <w:p w:rsidR="002D47F2" w:rsidRPr="00C55E40" w:rsidRDefault="002D47F2" w:rsidP="00E273DA">
            <w:r w:rsidRPr="00C55E40">
              <w:t>A tax allotment, or part thereof, cannot be leased for a period of more than 20 years.</w:t>
            </w:r>
            <w:r w:rsidRPr="00C55E40">
              <w:rPr>
                <w:rFonts w:cs="Arial"/>
                <w:vertAlign w:val="superscript"/>
              </w:rPr>
              <w:footnoteReference w:id="33"/>
            </w:r>
            <w:r w:rsidRPr="00C55E40">
              <w:t xml:space="preserve"> A town allotment, or part thereof, cannot be leased for more than 99 years without the Crown's permission.</w:t>
            </w:r>
            <w:r w:rsidRPr="00C55E40">
              <w:rPr>
                <w:rFonts w:cs="Arial"/>
                <w:vertAlign w:val="superscript"/>
              </w:rPr>
              <w:footnoteReference w:id="34"/>
            </w:r>
          </w:p>
          <w:p w:rsidR="002D47F2" w:rsidRPr="00C55E40" w:rsidRDefault="002D47F2" w:rsidP="00E273DA">
            <w:r w:rsidRPr="00C55E40">
              <w:t xml:space="preserve">The amount of rent for lease of a tax allotment is prescribed by the </w:t>
            </w:r>
            <w:r w:rsidRPr="00C55E40">
              <w:lastRenderedPageBreak/>
              <w:t>Land Act; the amount rent for a town allotment may be agreed between the parties.</w:t>
            </w:r>
            <w:r w:rsidRPr="00C55E40">
              <w:rPr>
                <w:rFonts w:cs="Arial"/>
                <w:vertAlign w:val="superscript"/>
              </w:rPr>
              <w:footnoteReference w:id="35"/>
            </w:r>
          </w:p>
        </w:tc>
      </w:tr>
    </w:tbl>
    <w:p w:rsidR="002D47F2" w:rsidRPr="00956F38" w:rsidRDefault="002D47F2" w:rsidP="00E273DA">
      <w:pPr>
        <w:pStyle w:val="Bullet2"/>
        <w:numPr>
          <w:ilvl w:val="0"/>
          <w:numId w:val="0"/>
        </w:numPr>
        <w:ind w:left="1429"/>
        <w:rPr>
          <w:rFonts w:cs="Arial"/>
        </w:rPr>
      </w:pPr>
      <w:r>
        <w:rPr>
          <w:rFonts w:cs="Arial"/>
        </w:rPr>
        <w:lastRenderedPageBreak/>
        <w:t xml:space="preserve">A religious </w:t>
      </w:r>
      <w:proofErr w:type="gramStart"/>
      <w:r>
        <w:rPr>
          <w:rFonts w:cs="Arial"/>
        </w:rPr>
        <w:t>body,</w:t>
      </w:r>
      <w:proofErr w:type="gramEnd"/>
      <w:r>
        <w:rPr>
          <w:rFonts w:cs="Arial"/>
        </w:rPr>
        <w:t xml:space="preserve"> or charitable or social organisation may hold a lease.</w:t>
      </w:r>
      <w:r>
        <w:rPr>
          <w:rStyle w:val="FootnoteReference"/>
          <w:rFonts w:cs="Arial"/>
        </w:rPr>
        <w:footnoteReference w:id="36"/>
      </w:r>
      <w:r>
        <w:rPr>
          <w:rFonts w:cs="Arial"/>
        </w:rPr>
        <w:t xml:space="preserve"> However, it is restricted to using the land for its original purposes (eg, religious worship) as declared at the time of entering into the lease.</w:t>
      </w:r>
      <w:r>
        <w:rPr>
          <w:rStyle w:val="FootnoteReference"/>
          <w:rFonts w:cs="Arial"/>
        </w:rPr>
        <w:footnoteReference w:id="37"/>
      </w:r>
    </w:p>
    <w:p w:rsidR="002D47F2" w:rsidRDefault="002D47F2" w:rsidP="00E273DA">
      <w:pPr>
        <w:pStyle w:val="Bullet2"/>
        <w:numPr>
          <w:ilvl w:val="0"/>
          <w:numId w:val="0"/>
        </w:numPr>
        <w:ind w:left="1429"/>
        <w:rPr>
          <w:rFonts w:cs="Arial"/>
        </w:rPr>
      </w:pPr>
      <w:r>
        <w:rPr>
          <w:rFonts w:cs="Arial"/>
        </w:rPr>
        <w:t>A leaseholder may apply to the Minister for permission to transfer their lease, or to sub-lease their land. A leaseholder may also mortgage the whole or part of the land subject to the lease.</w:t>
      </w:r>
      <w:r>
        <w:rPr>
          <w:rStyle w:val="FootnoteReference"/>
          <w:rFonts w:cs="Arial"/>
        </w:rPr>
        <w:footnoteReference w:id="38"/>
      </w:r>
    </w:p>
    <w:p w:rsidR="002D47F2" w:rsidRDefault="002D47F2" w:rsidP="00E273DA">
      <w:pPr>
        <w:pStyle w:val="Bullet2"/>
        <w:numPr>
          <w:ilvl w:val="0"/>
          <w:numId w:val="0"/>
        </w:numPr>
        <w:ind w:left="1429"/>
        <w:rPr>
          <w:rFonts w:cs="Arial"/>
        </w:rPr>
      </w:pPr>
      <w:r>
        <w:rPr>
          <w:rFonts w:cs="Arial"/>
        </w:rPr>
        <w:t>In the case of a lease to a religious body or charitable or social organisation, a lease transfer or sub-lease requires the consent of Cabinet.</w:t>
      </w:r>
      <w:r>
        <w:rPr>
          <w:rStyle w:val="FootnoteReference"/>
          <w:rFonts w:cs="Arial"/>
        </w:rPr>
        <w:footnoteReference w:id="39"/>
      </w:r>
      <w:r>
        <w:rPr>
          <w:rFonts w:cs="Arial"/>
        </w:rPr>
        <w:t xml:space="preserve"> A s</w:t>
      </w:r>
      <w:r>
        <w:t>ub-lease of 3 years or less may, however, be created without application to the Minister.</w:t>
      </w:r>
      <w:r>
        <w:rPr>
          <w:rStyle w:val="FootnoteReference"/>
        </w:rPr>
        <w:footnoteReference w:id="40"/>
      </w:r>
    </w:p>
    <w:p w:rsidR="002D47F2" w:rsidRDefault="002D47F2" w:rsidP="00E273DA">
      <w:pPr>
        <w:pStyle w:val="Bullet2"/>
        <w:numPr>
          <w:ilvl w:val="0"/>
          <w:numId w:val="0"/>
        </w:numPr>
        <w:ind w:left="1429"/>
        <w:rPr>
          <w:rFonts w:cs="Arial"/>
        </w:rPr>
      </w:pPr>
      <w:r>
        <w:rPr>
          <w:rFonts w:cs="Arial"/>
        </w:rPr>
        <w:t xml:space="preserve">The fact that buildings are classified as chattels has interesting implications for Tongan leases. A lessee is entitled to build on the land, and such building will be the </w:t>
      </w:r>
      <w:r w:rsidRPr="00090F67">
        <w:rPr>
          <w:rFonts w:cs="Arial"/>
          <w:i/>
        </w:rPr>
        <w:t>lessee's</w:t>
      </w:r>
      <w:r>
        <w:rPr>
          <w:rFonts w:cs="Arial"/>
        </w:rPr>
        <w:t xml:space="preserve">, rather than the </w:t>
      </w:r>
      <w:r w:rsidRPr="00090F67">
        <w:rPr>
          <w:rFonts w:cs="Arial"/>
          <w:i/>
        </w:rPr>
        <w:t>lessor's</w:t>
      </w:r>
      <w:r>
        <w:rPr>
          <w:rFonts w:cs="Arial"/>
        </w:rPr>
        <w:t>, property.</w:t>
      </w:r>
    </w:p>
    <w:p w:rsidR="002D47F2" w:rsidRDefault="002D47F2" w:rsidP="00E273DA">
      <w:pPr>
        <w:pStyle w:val="Bullet2"/>
        <w:numPr>
          <w:ilvl w:val="0"/>
          <w:numId w:val="0"/>
        </w:numPr>
        <w:ind w:left="1429"/>
        <w:rPr>
          <w:rFonts w:cs="Arial"/>
        </w:rPr>
      </w:pPr>
      <w:r>
        <w:rPr>
          <w:rFonts w:cs="Arial"/>
        </w:rPr>
        <w:t>Unless otherwise agreed, when the lease expires the lessee will be required to return the land to its original condition, and will be entitled to take the building with them. Lessees who wish to develop land normally, therefore, negotiate long-term leases.</w:t>
      </w:r>
    </w:p>
    <w:p w:rsidR="002D47F2" w:rsidRDefault="002D47F2" w:rsidP="00E273DA">
      <w:pPr>
        <w:pStyle w:val="Bullet2"/>
        <w:numPr>
          <w:ilvl w:val="0"/>
          <w:numId w:val="0"/>
        </w:numPr>
        <w:ind w:left="1429"/>
        <w:rPr>
          <w:rFonts w:cs="Arial"/>
        </w:rPr>
      </w:pPr>
      <w:r>
        <w:rPr>
          <w:rFonts w:cs="Arial"/>
        </w:rPr>
        <w:t xml:space="preserve">Given that buildings are chattels, a lease over a parcel of land will </w:t>
      </w:r>
      <w:r w:rsidRPr="00A909EF">
        <w:rPr>
          <w:rFonts w:cs="Arial"/>
          <w:i/>
        </w:rPr>
        <w:t>not</w:t>
      </w:r>
      <w:r>
        <w:rPr>
          <w:rFonts w:cs="Arial"/>
        </w:rPr>
        <w:t xml:space="preserve"> automatically encompass buildings situated on the land. It is, therefore, common practice for a lease to explicitly refer to both the land </w:t>
      </w:r>
      <w:r w:rsidRPr="00D34D2E">
        <w:rPr>
          <w:rFonts w:cs="Arial"/>
          <w:i/>
        </w:rPr>
        <w:t>and</w:t>
      </w:r>
      <w:r>
        <w:rPr>
          <w:rFonts w:cs="Arial"/>
        </w:rPr>
        <w:t xml:space="preserve"> the house.</w:t>
      </w:r>
      <w:r>
        <w:rPr>
          <w:rStyle w:val="FootnoteReference"/>
          <w:rFonts w:cs="Arial"/>
        </w:rPr>
        <w:footnoteReference w:id="41"/>
      </w:r>
    </w:p>
    <w:p w:rsidR="002D47F2" w:rsidRDefault="002D47F2" w:rsidP="00E273DA">
      <w:pPr>
        <w:pStyle w:val="Bullet2"/>
        <w:numPr>
          <w:ilvl w:val="0"/>
          <w:numId w:val="0"/>
        </w:numPr>
        <w:ind w:left="1429"/>
        <w:rPr>
          <w:rFonts w:cs="Arial"/>
        </w:rPr>
      </w:pPr>
      <w:r>
        <w:rPr>
          <w:rFonts w:cs="Arial"/>
        </w:rPr>
        <w:t>It is possible, but uncommon, for there to be separate arrangements for land and a building situated on the land.</w:t>
      </w:r>
      <w:r>
        <w:rPr>
          <w:rStyle w:val="FootnoteReference"/>
          <w:rFonts w:cs="Arial"/>
        </w:rPr>
        <w:footnoteReference w:id="42"/>
      </w:r>
      <w:r>
        <w:rPr>
          <w:rFonts w:cs="Arial"/>
        </w:rPr>
        <w:t xml:space="preserve"> For example, a lease for land may be combined with a tenancy agreement for a building situated on the land.</w:t>
      </w:r>
      <w:r>
        <w:rPr>
          <w:rStyle w:val="FootnoteReference"/>
          <w:rFonts w:cs="Arial"/>
        </w:rPr>
        <w:footnoteReference w:id="43"/>
      </w:r>
      <w:r>
        <w:rPr>
          <w:rFonts w:cs="Arial"/>
        </w:rPr>
        <w:t xml:space="preserve"> Tenancy agreements are discussed in section </w:t>
      </w:r>
      <w:r>
        <w:rPr>
          <w:rFonts w:cs="Arial"/>
        </w:rPr>
        <w:fldChar w:fldCharType="begin"/>
      </w:r>
      <w:r>
        <w:rPr>
          <w:rFonts w:cs="Arial"/>
        </w:rPr>
        <w:instrText xml:space="preserve"> REF _Ref474333105 \r \h </w:instrText>
      </w:r>
      <w:r>
        <w:rPr>
          <w:rFonts w:cs="Arial"/>
        </w:rPr>
      </w:r>
      <w:r>
        <w:rPr>
          <w:rFonts w:cs="Arial"/>
        </w:rPr>
        <w:fldChar w:fldCharType="separate"/>
      </w:r>
      <w:r w:rsidR="00961367">
        <w:rPr>
          <w:rFonts w:cs="Arial"/>
        </w:rPr>
        <w:t>(viii)</w:t>
      </w:r>
      <w:r>
        <w:rPr>
          <w:rFonts w:cs="Arial"/>
        </w:rPr>
        <w:fldChar w:fldCharType="end"/>
      </w:r>
      <w:r>
        <w:rPr>
          <w:rFonts w:cs="Arial"/>
        </w:rPr>
        <w:t xml:space="preserve"> below.</w:t>
      </w:r>
    </w:p>
    <w:p w:rsidR="002D47F2" w:rsidRDefault="002D47F2">
      <w:pPr>
        <w:spacing w:before="0" w:after="200" w:line="276" w:lineRule="auto"/>
        <w:rPr>
          <w:rFonts w:cs="Arial"/>
        </w:rPr>
      </w:pPr>
      <w:r>
        <w:rPr>
          <w:rFonts w:cs="Arial"/>
        </w:rPr>
        <w:br w:type="page"/>
      </w:r>
    </w:p>
    <w:p w:rsidR="002D47F2" w:rsidRPr="0039559D" w:rsidRDefault="002D47F2" w:rsidP="00E273DA">
      <w:pPr>
        <w:pStyle w:val="AllensHeading4"/>
        <w:rPr>
          <w:b/>
        </w:rPr>
      </w:pPr>
      <w:bookmarkStart w:id="56" w:name="Permit"/>
      <w:bookmarkStart w:id="57" w:name="v"/>
      <w:r w:rsidRPr="0039559D">
        <w:rPr>
          <w:b/>
        </w:rPr>
        <w:lastRenderedPageBreak/>
        <w:t>Permits</w:t>
      </w:r>
    </w:p>
    <w:bookmarkEnd w:id="56"/>
    <w:bookmarkEnd w:id="57"/>
    <w:p w:rsidR="002D47F2" w:rsidRDefault="002D47F2" w:rsidP="00E273DA">
      <w:pPr>
        <w:pStyle w:val="AllensHeading4"/>
        <w:numPr>
          <w:ilvl w:val="0"/>
          <w:numId w:val="0"/>
        </w:numPr>
        <w:ind w:left="1418"/>
      </w:pPr>
      <w:r>
        <w:t>A permit may be used as an alternative to a lease. Similar to a lease, a permit entitles the holder to use or reside upon land for the period specified in the permit, in exchange for payment of the amount of rent specified therein.</w:t>
      </w:r>
      <w:r>
        <w:rPr>
          <w:rStyle w:val="FootnoteReference"/>
        </w:rPr>
        <w:footnoteReference w:id="44"/>
      </w:r>
      <w:r>
        <w:t xml:space="preserve"> A permit may relate to land only (eg, vacant land), or to both land </w:t>
      </w:r>
      <w:r w:rsidRPr="00E764AC">
        <w:rPr>
          <w:i/>
        </w:rPr>
        <w:t>and</w:t>
      </w:r>
      <w:r>
        <w:t xml:space="preserve"> buildings situated on the land. Permits are commonly used for residential, farming and tourism purposes.</w:t>
      </w:r>
    </w:p>
    <w:p w:rsidR="002D47F2" w:rsidRDefault="002D47F2" w:rsidP="00E273DA">
      <w:pPr>
        <w:pStyle w:val="AllensHeading4"/>
        <w:numPr>
          <w:ilvl w:val="0"/>
          <w:numId w:val="0"/>
        </w:numPr>
        <w:ind w:left="1418"/>
      </w:pPr>
      <w:r>
        <w:t>Landholders often prefer to use permits, rather than leases, because permits allow them to retain a greater degree of control over their land.</w:t>
      </w:r>
      <w:r>
        <w:rPr>
          <w:rStyle w:val="FootnoteReference"/>
        </w:rPr>
        <w:footnoteReference w:id="45"/>
      </w:r>
      <w:r>
        <w:t xml:space="preserve"> A</w:t>
      </w:r>
      <w:r w:rsidRPr="00F95712">
        <w:t xml:space="preserve"> permit cannot be transferred, sub-leased or mortgaged.</w:t>
      </w:r>
      <w:r>
        <w:rPr>
          <w:rStyle w:val="FootnoteReference"/>
        </w:rPr>
        <w:footnoteReference w:id="46"/>
      </w:r>
      <w:r w:rsidRPr="00F95712">
        <w:t xml:space="preserve"> </w:t>
      </w:r>
      <w:r>
        <w:t>Further</w:t>
      </w:r>
      <w:r w:rsidRPr="00F95712">
        <w:t xml:space="preserve">, a permit </w:t>
      </w:r>
      <w:r>
        <w:t xml:space="preserve">holder's interest </w:t>
      </w:r>
      <w:r w:rsidRPr="00F95712">
        <w:t xml:space="preserve">expires upon </w:t>
      </w:r>
      <w:r>
        <w:t>the grantor's death, whereas a lessee's interest survives the lessor's death.</w:t>
      </w:r>
      <w:r>
        <w:rPr>
          <w:rStyle w:val="FootnoteReference"/>
        </w:rPr>
        <w:footnoteReference w:id="47"/>
      </w:r>
    </w:p>
    <w:p w:rsidR="002D47F2" w:rsidRDefault="002D47F2" w:rsidP="00E273DA">
      <w:pPr>
        <w:pStyle w:val="AllensHeading4"/>
        <w:numPr>
          <w:ilvl w:val="0"/>
          <w:numId w:val="0"/>
        </w:numPr>
        <w:ind w:left="1418"/>
      </w:pPr>
      <w:r>
        <w:t xml:space="preserve">Similar to a lessee, a permit holder is entitled to </w:t>
      </w:r>
      <w:r>
        <w:rPr>
          <w:rFonts w:cs="Arial"/>
        </w:rPr>
        <w:t xml:space="preserve">build on the land, and such building will be the </w:t>
      </w:r>
      <w:r>
        <w:rPr>
          <w:rFonts w:cs="Arial"/>
          <w:i/>
        </w:rPr>
        <w:t>permit holder's</w:t>
      </w:r>
      <w:r>
        <w:rPr>
          <w:rFonts w:cs="Arial"/>
        </w:rPr>
        <w:t xml:space="preserve">, rather than the </w:t>
      </w:r>
      <w:r>
        <w:rPr>
          <w:rFonts w:cs="Arial"/>
          <w:i/>
        </w:rPr>
        <w:t>landholder's</w:t>
      </w:r>
      <w:r>
        <w:rPr>
          <w:rFonts w:cs="Arial"/>
        </w:rPr>
        <w:t>, property. Unless otherwise agreed, when the permit expires the permit holder will be required to return the land to its original condition, and will be entitled to take the building with them.</w:t>
      </w:r>
    </w:p>
    <w:p w:rsidR="002D47F2" w:rsidRPr="00D52502" w:rsidRDefault="002D47F2" w:rsidP="00E273DA">
      <w:pPr>
        <w:pStyle w:val="AllensHeading4"/>
        <w:rPr>
          <w:b/>
        </w:rPr>
      </w:pPr>
      <w:bookmarkStart w:id="58" w:name="vi"/>
      <w:r w:rsidRPr="00D52502">
        <w:rPr>
          <w:b/>
        </w:rPr>
        <w:t>Teacher's allotments</w:t>
      </w:r>
    </w:p>
    <w:bookmarkEnd w:id="58"/>
    <w:p w:rsidR="002D47F2" w:rsidRPr="0090438E" w:rsidRDefault="002D47F2" w:rsidP="00E273DA">
      <w:pPr>
        <w:pStyle w:val="NormalIndent"/>
        <w:ind w:left="1418"/>
      </w:pPr>
      <w:r>
        <w:t xml:space="preserve">The </w:t>
      </w:r>
      <w:r w:rsidRPr="00201571">
        <w:rPr>
          <w:i/>
        </w:rPr>
        <w:t>Land Act</w:t>
      </w:r>
      <w:r>
        <w:t xml:space="preserve"> establishes teacher's allotments, which are provided to the </w:t>
      </w:r>
      <w:r w:rsidRPr="0092540B">
        <w:t>Head Teacher o</w:t>
      </w:r>
      <w:r>
        <w:t>f any Government Primary School.</w:t>
      </w:r>
      <w:r>
        <w:rPr>
          <w:rStyle w:val="FootnoteReference"/>
        </w:rPr>
        <w:footnoteReference w:id="48"/>
      </w:r>
      <w:r>
        <w:t xml:space="preserve"> A teacher's allotment is </w:t>
      </w:r>
      <w:r w:rsidRPr="0090438E">
        <w:rPr>
          <w:i/>
        </w:rPr>
        <w:t>not</w:t>
      </w:r>
      <w:r>
        <w:t xml:space="preserve"> a registered title, and merely entitles the teacher to reside on the land for their term of office. At the end of a Head Teacher's term, the allotment passes to their successor.</w:t>
      </w:r>
      <w:r>
        <w:rPr>
          <w:rStyle w:val="FootnoteReference"/>
        </w:rPr>
        <w:footnoteReference w:id="49"/>
      </w:r>
      <w:r>
        <w:t xml:space="preserve"> A teacher's allotment may only be held by a </w:t>
      </w:r>
      <w:r w:rsidRPr="0092540B">
        <w:t>male Tongan</w:t>
      </w:r>
      <w:r>
        <w:t xml:space="preserve"> </w:t>
      </w:r>
      <w:r w:rsidRPr="0092540B">
        <w:t>subject</w:t>
      </w:r>
      <w:r>
        <w:t>.</w:t>
      </w:r>
      <w:r>
        <w:rPr>
          <w:rStyle w:val="FootnoteReference"/>
        </w:rPr>
        <w:footnoteReference w:id="50"/>
      </w:r>
    </w:p>
    <w:p w:rsidR="002D47F2" w:rsidRPr="0039559D" w:rsidRDefault="002D47F2" w:rsidP="00E273DA">
      <w:pPr>
        <w:pStyle w:val="AllensHeading4"/>
        <w:rPr>
          <w:b/>
        </w:rPr>
      </w:pPr>
      <w:bookmarkStart w:id="59" w:name="vii"/>
      <w:r>
        <w:rPr>
          <w:b/>
        </w:rPr>
        <w:t>Written</w:t>
      </w:r>
      <w:r w:rsidRPr="0039559D">
        <w:rPr>
          <w:b/>
        </w:rPr>
        <w:t xml:space="preserve"> Agreements</w:t>
      </w:r>
    </w:p>
    <w:bookmarkEnd w:id="59"/>
    <w:p w:rsidR="002D47F2" w:rsidRDefault="002D47F2" w:rsidP="00E273DA">
      <w:pPr>
        <w:pStyle w:val="AllensHeading4"/>
        <w:numPr>
          <w:ilvl w:val="0"/>
          <w:numId w:val="0"/>
        </w:numPr>
        <w:ind w:left="1440"/>
      </w:pPr>
      <w:r>
        <w:t xml:space="preserve">Section 13 of the </w:t>
      </w:r>
      <w:r w:rsidRPr="00E70C54">
        <w:rPr>
          <w:i/>
        </w:rPr>
        <w:t>Land Act</w:t>
      </w:r>
      <w:r>
        <w:t xml:space="preserve"> prohibits landholders from entering into an agreement for profit in exchange for the use or occupation of their land, unless the agreement is:</w:t>
      </w:r>
    </w:p>
    <w:p w:rsidR="002D47F2" w:rsidRDefault="002D47F2" w:rsidP="00E273DA">
      <w:pPr>
        <w:pStyle w:val="Bullet3"/>
      </w:pPr>
      <w:r>
        <w:t xml:space="preserve">in the manner prescribed by the </w:t>
      </w:r>
      <w:r w:rsidRPr="00B82F53">
        <w:rPr>
          <w:i/>
        </w:rPr>
        <w:t>Land Act</w:t>
      </w:r>
      <w:r>
        <w:t xml:space="preserve"> (ie, a lease or permit); or</w:t>
      </w:r>
    </w:p>
    <w:p w:rsidR="002D47F2" w:rsidRDefault="002D47F2" w:rsidP="00E273DA">
      <w:pPr>
        <w:pStyle w:val="Bullet3"/>
      </w:pPr>
      <w:proofErr w:type="gramStart"/>
      <w:r>
        <w:t>is</w:t>
      </w:r>
      <w:proofErr w:type="gramEnd"/>
      <w:r>
        <w:t xml:space="preserve"> approved in writing by the Minister.</w:t>
      </w:r>
    </w:p>
    <w:p w:rsidR="002D47F2" w:rsidRDefault="002D47F2" w:rsidP="00E273DA">
      <w:pPr>
        <w:pStyle w:val="Bullet3"/>
        <w:numPr>
          <w:ilvl w:val="0"/>
          <w:numId w:val="0"/>
        </w:numPr>
        <w:ind w:left="1418"/>
      </w:pPr>
      <w:r>
        <w:t>The effect of section 13 is that it is possible to create an interest in land by agreement, provided that the agreement is approved in writing by the Minister. Such an agreement may subsequently be registered in a similar manner to a lease or a permit.</w:t>
      </w:r>
    </w:p>
    <w:p w:rsidR="002D47F2" w:rsidRPr="00E70C54" w:rsidRDefault="002D47F2" w:rsidP="00E273DA">
      <w:pPr>
        <w:pStyle w:val="AllensHeading4"/>
        <w:rPr>
          <w:b/>
        </w:rPr>
      </w:pPr>
      <w:bookmarkStart w:id="60" w:name="_Ref474333105"/>
      <w:bookmarkStart w:id="61" w:name="Tenancy_Agreement"/>
      <w:bookmarkStart w:id="62" w:name="viii"/>
      <w:r w:rsidRPr="00E70C54">
        <w:rPr>
          <w:b/>
        </w:rPr>
        <w:t>Tenancy Agreements</w:t>
      </w:r>
      <w:bookmarkEnd w:id="60"/>
    </w:p>
    <w:bookmarkEnd w:id="61"/>
    <w:bookmarkEnd w:id="62"/>
    <w:p w:rsidR="002D47F2" w:rsidRDefault="002D47F2" w:rsidP="00E273DA">
      <w:pPr>
        <w:pStyle w:val="AllensHeading4"/>
        <w:numPr>
          <w:ilvl w:val="0"/>
          <w:numId w:val="0"/>
        </w:numPr>
        <w:ind w:left="1418"/>
      </w:pPr>
      <w:r>
        <w:t>A tenancy agreement performs a similar function as a permit; it entitles the holder to use or reside upon land and/or buildings in exchange for payment of rent.</w:t>
      </w:r>
      <w:r w:rsidRPr="00E15840">
        <w:rPr>
          <w:rStyle w:val="FootnoteReference"/>
        </w:rPr>
        <w:footnoteReference w:id="51"/>
      </w:r>
      <w:r>
        <w:t xml:space="preserve"> A tenancy agreement may relate to:</w:t>
      </w:r>
    </w:p>
    <w:p w:rsidR="002D47F2" w:rsidRDefault="002D47F2" w:rsidP="00E273DA">
      <w:pPr>
        <w:pStyle w:val="Bullet3"/>
      </w:pPr>
      <w:r>
        <w:lastRenderedPageBreak/>
        <w:t>land;</w:t>
      </w:r>
    </w:p>
    <w:p w:rsidR="002D47F2" w:rsidRDefault="002D47F2" w:rsidP="00E273DA">
      <w:pPr>
        <w:pStyle w:val="Bullet3"/>
      </w:pPr>
      <w:r>
        <w:t>buildings; or</w:t>
      </w:r>
    </w:p>
    <w:p w:rsidR="002D47F2" w:rsidRDefault="002D47F2" w:rsidP="00E273DA">
      <w:pPr>
        <w:pStyle w:val="Bullet3"/>
      </w:pPr>
      <w:proofErr w:type="gramStart"/>
      <w:r>
        <w:t>land</w:t>
      </w:r>
      <w:proofErr w:type="gramEnd"/>
      <w:r>
        <w:t xml:space="preserve"> </w:t>
      </w:r>
      <w:r w:rsidRPr="00FD70AF">
        <w:rPr>
          <w:i/>
        </w:rPr>
        <w:t xml:space="preserve">and </w:t>
      </w:r>
      <w:r>
        <w:t>buildings.</w:t>
      </w:r>
    </w:p>
    <w:p w:rsidR="002D47F2" w:rsidRDefault="002D47F2" w:rsidP="00E273DA">
      <w:pPr>
        <w:pStyle w:val="AllensHeading4"/>
        <w:numPr>
          <w:ilvl w:val="0"/>
          <w:numId w:val="0"/>
        </w:numPr>
        <w:ind w:left="1418"/>
      </w:pPr>
      <w:r>
        <w:t>Although the nature of tenancy agreements varies, the following generalisations may be made:</w:t>
      </w:r>
    </w:p>
    <w:p w:rsidR="002D47F2" w:rsidRDefault="002D47F2" w:rsidP="00E273DA">
      <w:pPr>
        <w:pStyle w:val="Bullet3"/>
      </w:pPr>
      <w:r>
        <w:t>tenancy agreements are normally in writing;</w:t>
      </w:r>
    </w:p>
    <w:p w:rsidR="002D47F2" w:rsidRDefault="002D47F2" w:rsidP="00E273DA">
      <w:pPr>
        <w:pStyle w:val="Bullet3"/>
      </w:pPr>
      <w:r>
        <w:t>tenancy agreements cannot normally be transferred or mortgaged; and</w:t>
      </w:r>
    </w:p>
    <w:p w:rsidR="002D47F2" w:rsidRDefault="002D47F2" w:rsidP="00E273DA">
      <w:pPr>
        <w:pStyle w:val="Bullet3"/>
      </w:pPr>
      <w:proofErr w:type="gramStart"/>
      <w:r>
        <w:t>most</w:t>
      </w:r>
      <w:proofErr w:type="gramEnd"/>
      <w:r>
        <w:t xml:space="preserve"> tenancy agreements are held by foreigners.</w:t>
      </w:r>
    </w:p>
    <w:p w:rsidR="002D47F2" w:rsidRDefault="002D47F2" w:rsidP="00E273DA">
      <w:pPr>
        <w:pStyle w:val="AllensHeading4"/>
        <w:numPr>
          <w:ilvl w:val="0"/>
          <w:numId w:val="0"/>
        </w:numPr>
        <w:ind w:left="1418"/>
      </w:pPr>
      <w:r>
        <w:t xml:space="preserve">A tenancy agreement is </w:t>
      </w:r>
      <w:r w:rsidRPr="00372416">
        <w:rPr>
          <w:i/>
        </w:rPr>
        <w:t>not</w:t>
      </w:r>
      <w:r>
        <w:t xml:space="preserve"> one of the registered interests established by the </w:t>
      </w:r>
      <w:r w:rsidRPr="005B562A">
        <w:rPr>
          <w:i/>
        </w:rPr>
        <w:t>Land Act</w:t>
      </w:r>
      <w:r>
        <w:t xml:space="preserve">. Theoretically, a tenancy agreement </w:t>
      </w:r>
      <w:r w:rsidRPr="00372416">
        <w:rPr>
          <w:i/>
        </w:rPr>
        <w:t>may</w:t>
      </w:r>
      <w:r>
        <w:t xml:space="preserve"> be approved and registered by the Minister pursuant to section 13 of the </w:t>
      </w:r>
      <w:r w:rsidRPr="005B562A">
        <w:rPr>
          <w:i/>
        </w:rPr>
        <w:t>Land Act</w:t>
      </w:r>
      <w:r>
        <w:t xml:space="preserve">, as discussed in the preceding section. In practice, however, this is </w:t>
      </w:r>
      <w:r w:rsidRPr="00E15840">
        <w:t>extremely uncommon</w:t>
      </w:r>
      <w:r>
        <w:t>. The Ministry of Lands considers tenancy agreements which have not been registered to be unlawful.</w:t>
      </w:r>
    </w:p>
    <w:p w:rsidR="002D47F2" w:rsidRDefault="002D47F2" w:rsidP="00E273DA">
      <w:pPr>
        <w:pStyle w:val="AllensHeading4"/>
        <w:numPr>
          <w:ilvl w:val="0"/>
          <w:numId w:val="0"/>
        </w:numPr>
        <w:ind w:left="1418"/>
      </w:pPr>
      <w:r>
        <w:t xml:space="preserve">Notwithstanding the foregoing, a recent Court of Appeal decision indicates that a tenancy agreement may be lawful and/or enforceable in certain circumstances. In </w:t>
      </w:r>
      <w:r w:rsidRPr="0029111B">
        <w:rPr>
          <w:i/>
        </w:rPr>
        <w:t xml:space="preserve">Yang v </w:t>
      </w:r>
      <w:proofErr w:type="spellStart"/>
      <w:r w:rsidRPr="0029111B">
        <w:rPr>
          <w:i/>
        </w:rPr>
        <w:t>Manoa</w:t>
      </w:r>
      <w:proofErr w:type="spellEnd"/>
      <w:r>
        <w:rPr>
          <w:i/>
        </w:rPr>
        <w:t xml:space="preserve"> </w:t>
      </w:r>
      <w:r w:rsidRPr="00005CB3">
        <w:t>the</w:t>
      </w:r>
      <w:r>
        <w:rPr>
          <w:i/>
        </w:rPr>
        <w:t xml:space="preserve"> </w:t>
      </w:r>
      <w:r>
        <w:t xml:space="preserve">Court of Appeal held that a tenancy agreement for a retail shop was not caught by section 13 because it related to a building and its curtilage, and </w:t>
      </w:r>
      <w:r w:rsidRPr="00EF4203">
        <w:rPr>
          <w:i/>
        </w:rPr>
        <w:t>not</w:t>
      </w:r>
      <w:r>
        <w:t xml:space="preserve"> to land.</w:t>
      </w:r>
      <w:r>
        <w:rPr>
          <w:rStyle w:val="FootnoteReference"/>
        </w:rPr>
        <w:footnoteReference w:id="52"/>
      </w:r>
      <w:r>
        <w:t xml:space="preserve"> The Court's decision relied on the fact that section 13 applies to </w:t>
      </w:r>
      <w:r w:rsidRPr="00EF4203">
        <w:rPr>
          <w:i/>
        </w:rPr>
        <w:t>landholders</w:t>
      </w:r>
      <w:r>
        <w:t xml:space="preserve"> and that, under Tongan law, buildings are classified as chattels rather than land.</w:t>
      </w:r>
    </w:p>
    <w:p w:rsidR="002D47F2" w:rsidRDefault="002D47F2" w:rsidP="00E273DA">
      <w:pPr>
        <w:pStyle w:val="AllensHeading4"/>
        <w:numPr>
          <w:ilvl w:val="0"/>
          <w:numId w:val="0"/>
        </w:numPr>
        <w:ind w:left="1418"/>
      </w:pPr>
      <w:r>
        <w:t>Although it was not necessary to decide the point, the Court of Appeal went further by indicating that a tenancy agreement may be enforceable against a landholder even if it is caught by section 13.</w:t>
      </w:r>
      <w:r>
        <w:rPr>
          <w:rStyle w:val="FootnoteReference"/>
        </w:rPr>
        <w:footnoteReference w:id="53"/>
      </w:r>
      <w:r>
        <w:t xml:space="preserve"> The Court's rationale was that the purpose of section 13 is to penalise the landholder rather than the innocent party, and that the innocent party should, therefore, be entitled to enforce the agreement against the landholder.</w:t>
      </w:r>
      <w:r>
        <w:rPr>
          <w:rStyle w:val="FootnoteReference"/>
        </w:rPr>
        <w:footnoteReference w:id="54"/>
      </w:r>
    </w:p>
    <w:p w:rsidR="002D47F2" w:rsidRDefault="002D47F2" w:rsidP="00E273DA">
      <w:pPr>
        <w:pStyle w:val="AllensHeading4"/>
        <w:numPr>
          <w:ilvl w:val="0"/>
          <w:numId w:val="0"/>
        </w:numPr>
        <w:ind w:left="1418"/>
      </w:pPr>
      <w:r>
        <w:t xml:space="preserve">Given that tenancy agreements may not be caught by s 13 of the Land Act where they </w:t>
      </w:r>
      <w:r w:rsidRPr="001107E7">
        <w:rPr>
          <w:i/>
        </w:rPr>
        <w:t>only</w:t>
      </w:r>
      <w:r>
        <w:t xml:space="preserve"> relate to buildings, they are increasingly being used to circumvent the prohibition on leasing hereditary estates or town allotments for more than 99 years.</w:t>
      </w:r>
      <w:r>
        <w:rPr>
          <w:rStyle w:val="FootnoteReference"/>
        </w:rPr>
        <w:footnoteReference w:id="55"/>
      </w:r>
      <w:r>
        <w:t xml:space="preserve"> This is a live issue which is likely to receive judicial attention in the next few years.</w:t>
      </w:r>
      <w:r>
        <w:rPr>
          <w:rStyle w:val="FootnoteReference"/>
        </w:rPr>
        <w:footnoteReference w:id="56"/>
      </w:r>
    </w:p>
    <w:p w:rsidR="002D47F2" w:rsidRDefault="002D47F2" w:rsidP="00E273DA">
      <w:pPr>
        <w:pStyle w:val="AllensHeading4"/>
        <w:numPr>
          <w:ilvl w:val="0"/>
          <w:numId w:val="0"/>
        </w:numPr>
        <w:ind w:left="1418"/>
      </w:pPr>
      <w:r>
        <w:t>In order to be legally enforceable, however, a tenancy agreement must satisfy the key elements of contract formation: offer and acceptance; consideration; intention to create legal relations; and completeness and certainty of terms. In practice, tenancy agreements often contain insufficient detail to be complete and certain and are, therefore, likely be unenforceable in the event of a dispute.</w:t>
      </w:r>
    </w:p>
    <w:p w:rsidR="002D47F2" w:rsidRPr="0090438E" w:rsidRDefault="002D47F2" w:rsidP="00E273DA">
      <w:pPr>
        <w:pStyle w:val="AllensHeading4"/>
        <w:rPr>
          <w:b/>
        </w:rPr>
      </w:pPr>
      <w:bookmarkStart w:id="63" w:name="Licence"/>
      <w:bookmarkStart w:id="64" w:name="ix"/>
      <w:r w:rsidRPr="0090438E">
        <w:rPr>
          <w:b/>
        </w:rPr>
        <w:t>Licences</w:t>
      </w:r>
    </w:p>
    <w:bookmarkEnd w:id="63"/>
    <w:bookmarkEnd w:id="64"/>
    <w:p w:rsidR="002D47F2" w:rsidRDefault="002D47F2" w:rsidP="00E273DA">
      <w:pPr>
        <w:pStyle w:val="AllensHeading4"/>
        <w:numPr>
          <w:ilvl w:val="0"/>
          <w:numId w:val="0"/>
        </w:numPr>
        <w:ind w:left="1418"/>
      </w:pPr>
      <w:r>
        <w:t xml:space="preserve">A licence is a verbal permission to </w:t>
      </w:r>
      <w:r w:rsidRPr="008B4C49">
        <w:t xml:space="preserve">use or reside upon land and/or </w:t>
      </w:r>
      <w:proofErr w:type="gramStart"/>
      <w:r w:rsidRPr="008B4C49">
        <w:t>buildings</w:t>
      </w:r>
      <w:r>
        <w:t xml:space="preserve"> for a certain period of time, or until the permission is</w:t>
      </w:r>
      <w:proofErr w:type="gramEnd"/>
      <w:r>
        <w:t xml:space="preserve"> revoked.</w:t>
      </w:r>
      <w:r>
        <w:rPr>
          <w:rStyle w:val="FootnoteReference"/>
        </w:rPr>
        <w:footnoteReference w:id="57"/>
      </w:r>
      <w:r>
        <w:t xml:space="preserve"> Licences are commonly granted to </w:t>
      </w:r>
      <w:r>
        <w:lastRenderedPageBreak/>
        <w:t>family members or friends, particularly in cases where a landholder has left Tonga for an extended or indefinite period of time (eg, to live or work in Australia or New Zealand).</w:t>
      </w:r>
      <w:r>
        <w:rPr>
          <w:rStyle w:val="FootnoteReference"/>
        </w:rPr>
        <w:footnoteReference w:id="58"/>
      </w:r>
      <w:r>
        <w:t xml:space="preserve"> </w:t>
      </w:r>
    </w:p>
    <w:p w:rsidR="002D47F2" w:rsidRDefault="002D47F2" w:rsidP="00E273DA">
      <w:pPr>
        <w:pStyle w:val="AllensHeading4"/>
        <w:numPr>
          <w:ilvl w:val="0"/>
          <w:numId w:val="0"/>
        </w:numPr>
        <w:ind w:left="1418"/>
      </w:pPr>
      <w:r>
        <w:t>While a licensee has occupancy rights as against third parties, they are unlikely to have enforceable occupancy rights as against the landholder.</w:t>
      </w:r>
      <w:r>
        <w:rPr>
          <w:rStyle w:val="FootnoteReference"/>
        </w:rPr>
        <w:footnoteReference w:id="59"/>
      </w:r>
      <w:r>
        <w:t xml:space="preserve"> This is because permissions are generally not sufficiently certain or complete to be enforceable as contracts.</w:t>
      </w:r>
      <w:r>
        <w:rPr>
          <w:rStyle w:val="FootnoteReference"/>
        </w:rPr>
        <w:footnoteReference w:id="60"/>
      </w:r>
    </w:p>
    <w:p w:rsidR="002D47F2" w:rsidRPr="00401FFF" w:rsidRDefault="002D47F2" w:rsidP="00E273DA">
      <w:pPr>
        <w:pStyle w:val="AllensHeading4"/>
        <w:rPr>
          <w:b/>
        </w:rPr>
      </w:pPr>
      <w:bookmarkStart w:id="65" w:name="_Ref473972252"/>
      <w:bookmarkStart w:id="66" w:name="x"/>
      <w:r w:rsidRPr="00401FFF">
        <w:rPr>
          <w:b/>
        </w:rPr>
        <w:t>Rules of succession</w:t>
      </w:r>
      <w:bookmarkEnd w:id="65"/>
    </w:p>
    <w:bookmarkEnd w:id="66"/>
    <w:p w:rsidR="002D47F2" w:rsidRPr="00401FFF" w:rsidRDefault="002D47F2" w:rsidP="00E273DA">
      <w:pPr>
        <w:pStyle w:val="AllensHeading5"/>
        <w:rPr>
          <w:b/>
        </w:rPr>
      </w:pPr>
      <w:r w:rsidRPr="00401FFF">
        <w:rPr>
          <w:b/>
        </w:rPr>
        <w:t>Hereditary estates</w:t>
      </w:r>
    </w:p>
    <w:p w:rsidR="002D47F2" w:rsidRDefault="002D47F2" w:rsidP="00E273DA">
      <w:pPr>
        <w:pStyle w:val="Bullet2"/>
        <w:numPr>
          <w:ilvl w:val="0"/>
          <w:numId w:val="0"/>
        </w:numPr>
        <w:ind w:left="2126"/>
      </w:pPr>
      <w:r>
        <w:t xml:space="preserve">Section 111 of the </w:t>
      </w:r>
      <w:r w:rsidRPr="000F2B4B">
        <w:rPr>
          <w:i/>
        </w:rPr>
        <w:t>Constitution</w:t>
      </w:r>
      <w:r>
        <w:t xml:space="preserve"> outlines the rules of succession for hereditary estates and titles. The main rule is that the holder of a hereditary estate is succeeded by his eldest son </w:t>
      </w:r>
      <w:r w:rsidRPr="00644F37">
        <w:rPr>
          <w:i/>
        </w:rPr>
        <w:t>ad infinitum</w:t>
      </w:r>
      <w:r>
        <w:t>. The following rules apply if this main rule is inapplicable.</w:t>
      </w:r>
    </w:p>
    <w:p w:rsidR="002D47F2" w:rsidRPr="00E46A57" w:rsidRDefault="002D47F2" w:rsidP="00E273DA">
      <w:pPr>
        <w:pStyle w:val="Bullet3"/>
        <w:tabs>
          <w:tab w:val="clear" w:pos="2126"/>
          <w:tab w:val="num" w:pos="2834"/>
        </w:tabs>
        <w:ind w:left="2834"/>
      </w:pPr>
      <w:r w:rsidRPr="00E46A57">
        <w:t xml:space="preserve">If the holder of a hereditary estate has no </w:t>
      </w:r>
      <w:r>
        <w:t>sons</w:t>
      </w:r>
      <w:r w:rsidRPr="00E46A57">
        <w:t xml:space="preserve">, </w:t>
      </w:r>
      <w:r>
        <w:t>he is succeeded by</w:t>
      </w:r>
      <w:r w:rsidRPr="00E46A57">
        <w:t xml:space="preserve"> </w:t>
      </w:r>
      <w:r>
        <w:t>his</w:t>
      </w:r>
      <w:r w:rsidRPr="00E46A57">
        <w:t xml:space="preserve"> eldest </w:t>
      </w:r>
      <w:r>
        <w:t>daughter and her descendants</w:t>
      </w:r>
      <w:r w:rsidRPr="00E46A57">
        <w:t>.</w:t>
      </w:r>
    </w:p>
    <w:p w:rsidR="002D47F2" w:rsidRDefault="002D47F2" w:rsidP="00E273DA">
      <w:pPr>
        <w:pStyle w:val="Bullet3"/>
        <w:ind w:left="2834"/>
      </w:pPr>
      <w:r w:rsidRPr="00E46A57">
        <w:t xml:space="preserve">If the </w:t>
      </w:r>
      <w:r>
        <w:t>holder of a hereditary estate has no children, he is succeeded by</w:t>
      </w:r>
      <w:r w:rsidRPr="00E46A57">
        <w:t xml:space="preserve"> his eldest brother</w:t>
      </w:r>
      <w:r>
        <w:t xml:space="preserve"> and his descendants</w:t>
      </w:r>
      <w:r w:rsidRPr="00E46A57">
        <w:t>.</w:t>
      </w:r>
    </w:p>
    <w:p w:rsidR="002D47F2" w:rsidRDefault="002D47F2" w:rsidP="00E273DA">
      <w:pPr>
        <w:pStyle w:val="Bullet3"/>
        <w:ind w:left="2834"/>
      </w:pPr>
      <w:r w:rsidRPr="00E46A57">
        <w:t xml:space="preserve">If the </w:t>
      </w:r>
      <w:r>
        <w:t>holder of a hereditary estate has no children and no brothers, he is succeeded by his eldest sister and her descendants.</w:t>
      </w:r>
    </w:p>
    <w:p w:rsidR="002D47F2" w:rsidRDefault="002D47F2" w:rsidP="00E273DA">
      <w:pPr>
        <w:pStyle w:val="Bullet3"/>
        <w:ind w:left="2834"/>
      </w:pPr>
      <w:r>
        <w:t>If there is no heir to succeed to the hereditary estate and title, the land reverts to the Crown.</w:t>
      </w:r>
      <w:r>
        <w:rPr>
          <w:rStyle w:val="FootnoteReference"/>
        </w:rPr>
        <w:footnoteReference w:id="61"/>
      </w:r>
    </w:p>
    <w:p w:rsidR="002D47F2" w:rsidRDefault="002D47F2" w:rsidP="00E273DA">
      <w:pPr>
        <w:pStyle w:val="Definitions"/>
        <w:numPr>
          <w:ilvl w:val="0"/>
          <w:numId w:val="0"/>
        </w:numPr>
        <w:ind w:left="2126"/>
      </w:pPr>
      <w:r>
        <w:t xml:space="preserve">For a man, being next in succession carries an entitlement to the hereditary estate and title. Women, however, cannot hold a hereditary estate and title. If a woman is next in succession, she is entitled to </w:t>
      </w:r>
      <w:r w:rsidRPr="005C4DDE">
        <w:rPr>
          <w:i/>
        </w:rPr>
        <w:t>occupy</w:t>
      </w:r>
      <w:r>
        <w:t xml:space="preserve"> the hereditary estate, but the estate and title will pass </w:t>
      </w:r>
      <w:r w:rsidRPr="00C37BED">
        <w:rPr>
          <w:i/>
        </w:rPr>
        <w:t>through</w:t>
      </w:r>
      <w:r>
        <w:t xml:space="preserve"> her to the next male in succession.</w:t>
      </w:r>
      <w:r>
        <w:rPr>
          <w:rStyle w:val="FootnoteReference"/>
        </w:rPr>
        <w:footnoteReference w:id="62"/>
      </w:r>
    </w:p>
    <w:p w:rsidR="002D47F2" w:rsidRDefault="002D47F2" w:rsidP="00E273DA">
      <w:pPr>
        <w:pStyle w:val="Definitions"/>
        <w:numPr>
          <w:ilvl w:val="0"/>
          <w:numId w:val="0"/>
        </w:numPr>
        <w:ind w:left="2126"/>
      </w:pPr>
      <w:r>
        <w:t xml:space="preserve">The identity of the next male in succession depends on the circumstances. If the woman who succeeds has a male child, he will be the next male in succession. The hereditary estate and title will pass </w:t>
      </w:r>
      <w:r w:rsidRPr="00C23173">
        <w:t>through</w:t>
      </w:r>
      <w:r>
        <w:rPr>
          <w:i/>
        </w:rPr>
        <w:t xml:space="preserve"> </w:t>
      </w:r>
      <w:r>
        <w:t>her from her father to her son.</w:t>
      </w:r>
    </w:p>
    <w:p w:rsidR="002D47F2" w:rsidRDefault="002D47F2" w:rsidP="00E273DA">
      <w:pPr>
        <w:pStyle w:val="Bullet3"/>
        <w:numPr>
          <w:ilvl w:val="0"/>
          <w:numId w:val="0"/>
        </w:numPr>
        <w:ind w:left="2126"/>
      </w:pPr>
      <w:r>
        <w:t xml:space="preserve">If the woman who succeeds does </w:t>
      </w:r>
      <w:r w:rsidRPr="00D45C6A">
        <w:rPr>
          <w:i/>
        </w:rPr>
        <w:t xml:space="preserve">not </w:t>
      </w:r>
      <w:r>
        <w:t xml:space="preserve">have a male child, the next male in succession will be her younger sister's son. The hereditary estate and title will pass </w:t>
      </w:r>
      <w:r w:rsidRPr="00C23173">
        <w:t>through</w:t>
      </w:r>
      <w:r>
        <w:rPr>
          <w:i/>
        </w:rPr>
        <w:t xml:space="preserve"> </w:t>
      </w:r>
      <w:r>
        <w:t>her to her sister, and then to her sister's son. If, however, the woman subsequently has a male child, the hereditary estate and title will pass to him upon her nephew's death.</w:t>
      </w:r>
    </w:p>
    <w:p w:rsidR="002D47F2" w:rsidRDefault="002D47F2" w:rsidP="00E273DA">
      <w:pPr>
        <w:pStyle w:val="Definitions"/>
        <w:numPr>
          <w:ilvl w:val="0"/>
          <w:numId w:val="0"/>
        </w:numPr>
        <w:ind w:left="2126"/>
      </w:pPr>
      <w:r>
        <w:t xml:space="preserve">Importantly, a man or woman can only be next in succession if they were born </w:t>
      </w:r>
      <w:r w:rsidRPr="00751851">
        <w:rPr>
          <w:i/>
        </w:rPr>
        <w:t>in wedlock</w:t>
      </w:r>
      <w:r>
        <w:t>.</w:t>
      </w:r>
    </w:p>
    <w:p w:rsidR="002D47F2" w:rsidRDefault="002D47F2">
      <w:pPr>
        <w:spacing w:before="0" w:after="200" w:line="276" w:lineRule="auto"/>
      </w:pPr>
      <w:r>
        <w:br w:type="page"/>
      </w:r>
    </w:p>
    <w:p w:rsidR="002D47F2" w:rsidRPr="00401FFF" w:rsidRDefault="002D47F2" w:rsidP="00E273DA">
      <w:pPr>
        <w:pStyle w:val="AllensHeading5"/>
        <w:rPr>
          <w:b/>
        </w:rPr>
      </w:pPr>
      <w:bookmarkStart w:id="67" w:name="_Ref472867221"/>
      <w:r w:rsidRPr="00401FFF">
        <w:rPr>
          <w:b/>
        </w:rPr>
        <w:lastRenderedPageBreak/>
        <w:t>Allotments</w:t>
      </w:r>
      <w:bookmarkEnd w:id="67"/>
    </w:p>
    <w:p w:rsidR="002D47F2" w:rsidRDefault="002D47F2" w:rsidP="00E273DA">
      <w:pPr>
        <w:pStyle w:val="AllensHeading4"/>
        <w:numPr>
          <w:ilvl w:val="0"/>
          <w:numId w:val="0"/>
        </w:numPr>
        <w:ind w:left="2126"/>
      </w:pPr>
      <w:r>
        <w:t xml:space="preserve">Section 82 of the </w:t>
      </w:r>
      <w:r w:rsidRPr="000F2B4B">
        <w:rPr>
          <w:i/>
        </w:rPr>
        <w:t>Land Act</w:t>
      </w:r>
      <w:r>
        <w:t xml:space="preserve"> outlines the rules of succession for town and tax allotments. The rules of succession for town and tax allotments are similar to those for hereditary estates, with the following important differences.</w:t>
      </w:r>
    </w:p>
    <w:p w:rsidR="002D47F2" w:rsidRDefault="002D47F2" w:rsidP="00E273DA">
      <w:pPr>
        <w:pStyle w:val="Bullet3"/>
        <w:tabs>
          <w:tab w:val="clear" w:pos="2126"/>
          <w:tab w:val="num" w:pos="2834"/>
        </w:tabs>
        <w:ind w:left="2834"/>
      </w:pPr>
      <w:r w:rsidRPr="009718B5">
        <w:rPr>
          <w:b/>
        </w:rPr>
        <w:t>First</w:t>
      </w:r>
      <w:r>
        <w:t xml:space="preserve">, if an allotment holder dies without leaving </w:t>
      </w:r>
      <w:r w:rsidRPr="00AE7A46">
        <w:rPr>
          <w:i/>
        </w:rPr>
        <w:t>any</w:t>
      </w:r>
      <w:r>
        <w:t xml:space="preserve"> male heir, an unmarried daughter of the holder will inherit a life estate in the allotment.</w:t>
      </w:r>
      <w:r>
        <w:rPr>
          <w:rStyle w:val="FootnoteReference"/>
        </w:rPr>
        <w:footnoteReference w:id="63"/>
      </w:r>
      <w:r>
        <w:t xml:space="preserve"> If there are two or more unmarried daughters, they will inherit jointly.</w:t>
      </w:r>
      <w:r>
        <w:rPr>
          <w:rStyle w:val="FootnoteReference"/>
        </w:rPr>
        <w:footnoteReference w:id="64"/>
      </w:r>
    </w:p>
    <w:p w:rsidR="002D47F2" w:rsidRPr="000614F2" w:rsidRDefault="002D47F2" w:rsidP="00E273DA">
      <w:pPr>
        <w:pStyle w:val="Bullet3"/>
        <w:ind w:left="2834"/>
      </w:pPr>
      <w:r w:rsidRPr="009718B5">
        <w:rPr>
          <w:rFonts w:eastAsiaTheme="minorEastAsia"/>
          <w:b/>
          <w:lang w:val="en-GB" w:eastAsia="en-US"/>
        </w:rPr>
        <w:t>Second</w:t>
      </w:r>
      <w:r>
        <w:rPr>
          <w:rFonts w:eastAsiaTheme="minorEastAsia"/>
          <w:lang w:val="en-GB" w:eastAsia="en-US"/>
        </w:rPr>
        <w:t xml:space="preserve">, upon </w:t>
      </w:r>
      <w:r w:rsidRPr="000614F2">
        <w:rPr>
          <w:lang w:val="en-GB"/>
        </w:rPr>
        <w:t xml:space="preserve">the death of any lawful male holder of a tax or town allotment, his widow is entitled to </w:t>
      </w:r>
      <w:r>
        <w:rPr>
          <w:lang w:val="en-GB"/>
        </w:rPr>
        <w:t>a life estate in the allotment.</w:t>
      </w:r>
      <w:r>
        <w:rPr>
          <w:rStyle w:val="FootnoteReference"/>
          <w:lang w:val="en-GB"/>
        </w:rPr>
        <w:footnoteReference w:id="65"/>
      </w:r>
    </w:p>
    <w:p w:rsidR="002D47F2" w:rsidRDefault="002D47F2" w:rsidP="00E273DA">
      <w:pPr>
        <w:pStyle w:val="Bullet3"/>
        <w:numPr>
          <w:ilvl w:val="0"/>
          <w:numId w:val="0"/>
        </w:numPr>
        <w:ind w:left="2126"/>
        <w:rPr>
          <w:lang w:val="en-GB"/>
        </w:rPr>
      </w:pPr>
      <w:r>
        <w:rPr>
          <w:lang w:val="en-GB"/>
        </w:rPr>
        <w:t>Unlike a male heir, a widow who inherits an allotment cannot mortgage or lease the allotment.</w:t>
      </w:r>
      <w:r>
        <w:rPr>
          <w:rStyle w:val="FootnoteReference"/>
          <w:lang w:val="en-GB"/>
        </w:rPr>
        <w:footnoteReference w:id="66"/>
      </w:r>
      <w:r>
        <w:rPr>
          <w:lang w:val="en-GB"/>
        </w:rPr>
        <w:t xml:space="preserve"> Further, if the allotment is already mortgaged or leased, those interests prevail. The widow may grant permits over the allotment in order to generate income from the land — for example, in order to service a mortgage.</w:t>
      </w:r>
    </w:p>
    <w:p w:rsidR="002D47F2" w:rsidRDefault="002D47F2" w:rsidP="00E273DA">
      <w:pPr>
        <w:pStyle w:val="Bullet3"/>
        <w:numPr>
          <w:ilvl w:val="0"/>
          <w:numId w:val="0"/>
        </w:numPr>
        <w:ind w:left="2126"/>
        <w:rPr>
          <w:lang w:val="en-GB"/>
        </w:rPr>
      </w:pPr>
      <w:r>
        <w:rPr>
          <w:lang w:val="en-GB"/>
        </w:rPr>
        <w:t xml:space="preserve">As indicated in section </w:t>
      </w:r>
      <w:r>
        <w:rPr>
          <w:lang w:val="en-GB"/>
        </w:rPr>
        <w:fldChar w:fldCharType="begin"/>
      </w:r>
      <w:r>
        <w:rPr>
          <w:lang w:val="en-GB"/>
        </w:rPr>
        <w:instrText xml:space="preserve"> REF _Ref472869062 \r \h </w:instrText>
      </w:r>
      <w:r>
        <w:rPr>
          <w:lang w:val="en-GB"/>
        </w:rPr>
      </w:r>
      <w:r>
        <w:rPr>
          <w:lang w:val="en-GB"/>
        </w:rPr>
        <w:fldChar w:fldCharType="separate"/>
      </w:r>
      <w:r w:rsidR="00961367">
        <w:rPr>
          <w:lang w:val="en-GB"/>
        </w:rPr>
        <w:t>(iii)</w:t>
      </w:r>
      <w:r>
        <w:rPr>
          <w:lang w:val="en-GB"/>
        </w:rPr>
        <w:fldChar w:fldCharType="end"/>
      </w:r>
      <w:r>
        <w:rPr>
          <w:lang w:val="en-GB"/>
        </w:rPr>
        <w:t xml:space="preserve"> above, a tax or town allotment may only be held by a male Tongan. There is currently litigation on foot in the Land Court concerning whether a non-Tongan widow may inherit a tax or town allotment.</w:t>
      </w:r>
    </w:p>
    <w:p w:rsidR="002D47F2" w:rsidRDefault="002D47F2" w:rsidP="00E273DA">
      <w:pPr>
        <w:pStyle w:val="Bullet3"/>
        <w:numPr>
          <w:ilvl w:val="0"/>
          <w:numId w:val="0"/>
        </w:numPr>
        <w:ind w:left="2126"/>
        <w:rPr>
          <w:lang w:val="en-GB"/>
        </w:rPr>
      </w:pPr>
      <w:r w:rsidRPr="005F18D7">
        <w:rPr>
          <w:lang w:val="en-GB"/>
        </w:rPr>
        <w:t xml:space="preserve">The life estate of a daughter terminates upon her marriage, </w:t>
      </w:r>
      <w:r>
        <w:rPr>
          <w:lang w:val="en-GB"/>
        </w:rPr>
        <w:t>and</w:t>
      </w:r>
      <w:r w:rsidRPr="005F18D7">
        <w:rPr>
          <w:lang w:val="en-GB"/>
        </w:rPr>
        <w:t xml:space="preserve"> t</w:t>
      </w:r>
      <w:r w:rsidRPr="005F18D7">
        <w:t>he life estate of a widow t</w:t>
      </w:r>
      <w:proofErr w:type="spellStart"/>
      <w:r w:rsidRPr="005F18D7">
        <w:rPr>
          <w:lang w:val="en-GB"/>
        </w:rPr>
        <w:t>erminates</w:t>
      </w:r>
      <w:proofErr w:type="spellEnd"/>
      <w:r w:rsidRPr="005F18D7">
        <w:rPr>
          <w:lang w:val="en-GB"/>
        </w:rPr>
        <w:t xml:space="preserve"> on her re-marriage.</w:t>
      </w:r>
      <w:r w:rsidRPr="005F18D7">
        <w:rPr>
          <w:vertAlign w:val="superscript"/>
          <w:lang w:val="en-GB"/>
        </w:rPr>
        <w:footnoteReference w:id="67"/>
      </w:r>
      <w:r w:rsidRPr="005F18D7">
        <w:rPr>
          <w:lang w:val="en-GB"/>
        </w:rPr>
        <w:t xml:space="preserve"> The life estate of either a widow or daughter will also terminate upon proof in legal proceedings of her having committed fornication or adultery.</w:t>
      </w:r>
      <w:r w:rsidRPr="005F18D7">
        <w:rPr>
          <w:vertAlign w:val="superscript"/>
          <w:lang w:val="en-GB"/>
        </w:rPr>
        <w:footnoteReference w:id="68"/>
      </w:r>
    </w:p>
    <w:p w:rsidR="002D47F2" w:rsidRDefault="002D47F2" w:rsidP="00E273DA">
      <w:pPr>
        <w:pStyle w:val="Bullet3"/>
        <w:numPr>
          <w:ilvl w:val="0"/>
          <w:numId w:val="0"/>
        </w:numPr>
        <w:ind w:left="2126"/>
      </w:pPr>
      <w:r>
        <w:t>I</w:t>
      </w:r>
      <w:r w:rsidRPr="002C39B1">
        <w:t xml:space="preserve">f there is no heir to succeed to the </w:t>
      </w:r>
      <w:r>
        <w:t>allotment</w:t>
      </w:r>
      <w:r w:rsidRPr="002C39B1">
        <w:t>, the land</w:t>
      </w:r>
      <w:r>
        <w:t xml:space="preserve"> comprising the allotment</w:t>
      </w:r>
      <w:r w:rsidRPr="002C39B1">
        <w:t xml:space="preserve"> reverts to</w:t>
      </w:r>
      <w:r>
        <w:t xml:space="preserve"> </w:t>
      </w:r>
      <w:r w:rsidRPr="002C39B1">
        <w:t>the Crown</w:t>
      </w:r>
      <w:r>
        <w:t xml:space="preserve"> or the holder of the hereditary estate, depending on where it is located.</w:t>
      </w:r>
      <w:r>
        <w:rPr>
          <w:rStyle w:val="FootnoteReference"/>
        </w:rPr>
        <w:footnoteReference w:id="69"/>
      </w:r>
    </w:p>
    <w:p w:rsidR="002D47F2" w:rsidRPr="00D52502" w:rsidRDefault="002D47F2" w:rsidP="00E273DA">
      <w:pPr>
        <w:pStyle w:val="AllensHeading3"/>
        <w:rPr>
          <w:b/>
        </w:rPr>
      </w:pPr>
      <w:bookmarkStart w:id="68" w:name="_Ref474072762"/>
      <w:r w:rsidRPr="00D52502">
        <w:rPr>
          <w:b/>
        </w:rPr>
        <w:t>Which, if any, of these types of tenure provide a high degree of security of tenure?</w:t>
      </w:r>
      <w:bookmarkEnd w:id="68"/>
    </w:p>
    <w:p w:rsidR="002D47F2" w:rsidRDefault="002D47F2" w:rsidP="00E273DA">
      <w:pPr>
        <w:pStyle w:val="AllensHeading3"/>
        <w:numPr>
          <w:ilvl w:val="0"/>
          <w:numId w:val="0"/>
        </w:numPr>
        <w:ind w:left="720"/>
      </w:pPr>
      <w:r>
        <w:t>With the exception of tenancy agreements, the above forms of tenure each provide a high degree of security of tenure because they are registered interests in land. Registration confers indefeasible title: the register operates as conclusive proof of the landholder's rights, and protects the landholder from challenges to their title.</w:t>
      </w:r>
    </w:p>
    <w:p w:rsidR="002D47F2" w:rsidRDefault="002D47F2" w:rsidP="00E273DA">
      <w:pPr>
        <w:pStyle w:val="AllensHeading3"/>
        <w:numPr>
          <w:ilvl w:val="0"/>
          <w:numId w:val="0"/>
        </w:numPr>
        <w:ind w:left="720"/>
      </w:pPr>
      <w:r>
        <w:t xml:space="preserve">Notwithstanding the foregoing, persons holding hereditary estates and allotments possess a higher degree of security of tenure than leaseholders. In turn, leaseholders possess a higher degree of security of tenure than permit holders. These varying degrees of security of tenure are due to two factors: first, the </w:t>
      </w:r>
      <w:r w:rsidRPr="00C26DE4">
        <w:rPr>
          <w:i/>
        </w:rPr>
        <w:t>duration</w:t>
      </w:r>
      <w:r>
        <w:t xml:space="preserve"> of the tenure; and second, the circumstances in which the tenure can be </w:t>
      </w:r>
      <w:r w:rsidRPr="000A3871">
        <w:rPr>
          <w:i/>
        </w:rPr>
        <w:t>terminated</w:t>
      </w:r>
      <w:r>
        <w:t>.</w:t>
      </w:r>
    </w:p>
    <w:p w:rsidR="002D47F2" w:rsidRDefault="002D47F2" w:rsidP="00E273DA">
      <w:pPr>
        <w:pStyle w:val="AllensHeading3"/>
        <w:numPr>
          <w:ilvl w:val="0"/>
          <w:numId w:val="0"/>
        </w:numPr>
        <w:ind w:left="720"/>
      </w:pPr>
      <w:r>
        <w:t>First, hereditary estates and allotments are life estates. By contrast, leases and permits have a fixed duration, and may be for a short amount of time. Further, a permit will expire when the grantor dies, even if the agreed term has not elapsed.</w:t>
      </w:r>
    </w:p>
    <w:p w:rsidR="002D47F2" w:rsidRDefault="002D47F2" w:rsidP="00E273DA">
      <w:pPr>
        <w:pStyle w:val="AllensHeading3"/>
        <w:numPr>
          <w:ilvl w:val="0"/>
          <w:numId w:val="0"/>
        </w:numPr>
        <w:ind w:left="720"/>
      </w:pPr>
      <w:r>
        <w:lastRenderedPageBreak/>
        <w:t xml:space="preserve">Second, the </w:t>
      </w:r>
      <w:r w:rsidRPr="00B64D69">
        <w:rPr>
          <w:i/>
        </w:rPr>
        <w:t>Land Act</w:t>
      </w:r>
      <w:r>
        <w:t xml:space="preserve"> provides that the holder of a hereditary estate or an allotment may only lose their landholding in certain, narrow circumstances.</w:t>
      </w:r>
    </w:p>
    <w:p w:rsidR="002D47F2" w:rsidRDefault="002D47F2" w:rsidP="00E273DA">
      <w:pPr>
        <w:pStyle w:val="Bullet2"/>
      </w:pPr>
      <w:r>
        <w:t>The holder of a hereditary estate can only lose their landholding if they are convicted of an indictable offence, or are certified by a medical officer to be insane or an imbecile.</w:t>
      </w:r>
      <w:r>
        <w:rPr>
          <w:rStyle w:val="FootnoteReference"/>
        </w:rPr>
        <w:footnoteReference w:id="70"/>
      </w:r>
    </w:p>
    <w:p w:rsidR="002D47F2" w:rsidRPr="0082252F" w:rsidRDefault="002D47F2" w:rsidP="00E273DA">
      <w:pPr>
        <w:pStyle w:val="Bullet2"/>
      </w:pPr>
      <w:r w:rsidRPr="0082252F">
        <w:t>An allotment holder can only lose their landholding if the Minister brings an action  successfully proving that:</w:t>
      </w:r>
    </w:p>
    <w:p w:rsidR="002D47F2" w:rsidRDefault="002D47F2" w:rsidP="00E273DA">
      <w:pPr>
        <w:pStyle w:val="Bullet3"/>
      </w:pPr>
      <w:r>
        <w:t>any rent is 2 years in arrears;</w:t>
      </w:r>
    </w:p>
    <w:p w:rsidR="002D47F2" w:rsidRDefault="002D47F2" w:rsidP="00E273DA">
      <w:pPr>
        <w:pStyle w:val="Bullet3"/>
      </w:pPr>
      <w:r>
        <w:t>during the previous 5 years, 3 judgments have been made against the allotment holder for recovery of rent;</w:t>
      </w:r>
    </w:p>
    <w:p w:rsidR="002D47F2" w:rsidRDefault="002D47F2" w:rsidP="00E273DA">
      <w:pPr>
        <w:pStyle w:val="Bullet3"/>
      </w:pPr>
      <w:r>
        <w:t>the allotment holder has failed to satisfy a judgment for recovery of rent within 3 months of the date of that judgment;</w:t>
      </w:r>
    </w:p>
    <w:p w:rsidR="002D47F2" w:rsidRDefault="002D47F2" w:rsidP="00E273DA">
      <w:pPr>
        <w:pStyle w:val="Bullet3"/>
      </w:pPr>
      <w:r>
        <w:t>during the previous 3 years, the allotment holder has been convicted more than twice for failing to plant and/or maintain sufficient coconut trees on a tax allotment; or</w:t>
      </w:r>
    </w:p>
    <w:p w:rsidR="002D47F2" w:rsidRDefault="002D47F2" w:rsidP="00E273DA">
      <w:pPr>
        <w:pStyle w:val="Bullet3"/>
      </w:pPr>
      <w:proofErr w:type="gramStart"/>
      <w:r>
        <w:t>during</w:t>
      </w:r>
      <w:proofErr w:type="gramEnd"/>
      <w:r>
        <w:t xml:space="preserve"> the previous 3 years, the allotment holder has failed to maintain a tax allotment in the average state of cultivation for tax allotments in his district.</w:t>
      </w:r>
      <w:r>
        <w:rPr>
          <w:rStyle w:val="FootnoteReference"/>
        </w:rPr>
        <w:footnoteReference w:id="71"/>
      </w:r>
    </w:p>
    <w:p w:rsidR="002D47F2" w:rsidRDefault="002D47F2" w:rsidP="00E273DA">
      <w:pPr>
        <w:pStyle w:val="AllensHeading3"/>
        <w:numPr>
          <w:ilvl w:val="0"/>
          <w:numId w:val="0"/>
        </w:numPr>
        <w:ind w:left="720"/>
      </w:pPr>
      <w:r>
        <w:t xml:space="preserve">The </w:t>
      </w:r>
      <w:r w:rsidRPr="00B64D69">
        <w:rPr>
          <w:i/>
        </w:rPr>
        <w:t>Land Act</w:t>
      </w:r>
      <w:r>
        <w:t xml:space="preserve"> further protects allotment holders by prohibiting the holder of a hereditary estate from dispossessing an allotment holder of his land.</w:t>
      </w:r>
      <w:r>
        <w:rPr>
          <w:rStyle w:val="FootnoteReference"/>
        </w:rPr>
        <w:footnoteReference w:id="72"/>
      </w:r>
    </w:p>
    <w:p w:rsidR="002D47F2" w:rsidRDefault="002D47F2" w:rsidP="00E273DA">
      <w:pPr>
        <w:pStyle w:val="AllensHeading3"/>
        <w:numPr>
          <w:ilvl w:val="0"/>
          <w:numId w:val="0"/>
        </w:numPr>
        <w:ind w:left="720"/>
      </w:pPr>
      <w:r>
        <w:t>By contrast, it is easier for a leaseholder to lose their interest in the land. A lessor may take possession of the land if rent is 21 days overdue.</w:t>
      </w:r>
      <w:r>
        <w:rPr>
          <w:rStyle w:val="FootnoteReference"/>
        </w:rPr>
        <w:footnoteReference w:id="73"/>
      </w:r>
      <w:r>
        <w:t xml:space="preserve"> Further, a lease may be terminated for several reasons — for example, if the lessee has used the land for a purpose other than that for which his lease application was made.</w:t>
      </w:r>
      <w:r>
        <w:rPr>
          <w:rStyle w:val="FootnoteReference"/>
        </w:rPr>
        <w:footnoteReference w:id="74"/>
      </w:r>
    </w:p>
    <w:p w:rsidR="002D47F2" w:rsidRDefault="002D47F2" w:rsidP="00E273DA">
      <w:pPr>
        <w:pStyle w:val="AllensHeading3"/>
        <w:numPr>
          <w:ilvl w:val="0"/>
          <w:numId w:val="0"/>
        </w:numPr>
        <w:ind w:left="720"/>
      </w:pPr>
      <w:r>
        <w:t xml:space="preserve">Compared to registered interests in land, tenancy agreements generally provide a lower degree of security of tenure. As discussed in section </w:t>
      </w:r>
      <w:r>
        <w:fldChar w:fldCharType="begin"/>
      </w:r>
      <w:r>
        <w:instrText xml:space="preserve"> REF _Ref474333105 \r \h </w:instrText>
      </w:r>
      <w:r>
        <w:fldChar w:fldCharType="separate"/>
      </w:r>
      <w:r w:rsidR="00961367">
        <w:t>(b</w:t>
      </w:r>
      <w:proofErr w:type="gramStart"/>
      <w:r w:rsidR="00961367">
        <w:t>)(</w:t>
      </w:r>
      <w:proofErr w:type="gramEnd"/>
      <w:r w:rsidR="00961367">
        <w:t>viii)</w:t>
      </w:r>
      <w:r>
        <w:fldChar w:fldCharType="end"/>
      </w:r>
      <w:r>
        <w:t xml:space="preserve"> above, a tenancy agreement will only be legally enforceable if it satisfies the key elements of contract formation. In practice, tenancy agreements often contain insufficient detail to be enforceable as contracts in the event of a dispute.</w:t>
      </w:r>
      <w:r>
        <w:rPr>
          <w:rStyle w:val="FootnoteReference"/>
        </w:rPr>
        <w:footnoteReference w:id="75"/>
      </w:r>
    </w:p>
    <w:p w:rsidR="002D47F2" w:rsidRPr="005D6E30" w:rsidRDefault="002D47F2" w:rsidP="00E273DA">
      <w:pPr>
        <w:pStyle w:val="AllensHeading3"/>
        <w:rPr>
          <w:b/>
        </w:rPr>
      </w:pPr>
      <w:r w:rsidRPr="005D6E30">
        <w:rPr>
          <w:b/>
        </w:rPr>
        <w:t>How does tenure differ between urban and rural areas? If possible, please provide statistics about the prevalence of each type of tenure in urban and rural areas.</w:t>
      </w:r>
    </w:p>
    <w:p w:rsidR="002D47F2" w:rsidRDefault="002D47F2" w:rsidP="00E273DA">
      <w:pPr>
        <w:pStyle w:val="NormalIndent"/>
      </w:pPr>
      <w:r w:rsidRPr="00783C05">
        <w:t>In urban areas, there is a pre</w:t>
      </w:r>
      <w:r>
        <w:t>dominance</w:t>
      </w:r>
      <w:r w:rsidRPr="00783C05">
        <w:t xml:space="preserve"> of town allotments and commercial or residential leases.</w:t>
      </w:r>
      <w:r>
        <w:rPr>
          <w:rStyle w:val="FootnoteReference"/>
        </w:rPr>
        <w:footnoteReference w:id="76"/>
      </w:r>
      <w:r w:rsidRPr="00783C05">
        <w:t xml:space="preserve"> In rural areas, there is a </w:t>
      </w:r>
      <w:r>
        <w:t>predominance</w:t>
      </w:r>
      <w:r w:rsidRPr="00783C05">
        <w:t xml:space="preserve"> of tax allotments and agricultural leases.</w:t>
      </w:r>
      <w:r>
        <w:rPr>
          <w:rStyle w:val="FootnoteReference"/>
        </w:rPr>
        <w:footnoteReference w:id="77"/>
      </w:r>
      <w:r w:rsidRPr="00783C05">
        <w:t xml:space="preserve"> Statistical data is not readily available.</w:t>
      </w:r>
    </w:p>
    <w:p w:rsidR="002D47F2" w:rsidRDefault="002D47F2">
      <w:pPr>
        <w:spacing w:before="0" w:after="200" w:line="276" w:lineRule="auto"/>
      </w:pPr>
      <w:r>
        <w:br w:type="page"/>
      </w:r>
    </w:p>
    <w:p w:rsidR="002D47F2" w:rsidRPr="003A09CC" w:rsidRDefault="002D47F2" w:rsidP="00E273DA">
      <w:pPr>
        <w:pStyle w:val="AllensHeading3"/>
        <w:rPr>
          <w:b/>
        </w:rPr>
      </w:pPr>
      <w:bookmarkStart w:id="69" w:name="Key_Govt_Actors"/>
      <w:r w:rsidRPr="003A09CC">
        <w:rPr>
          <w:b/>
        </w:rPr>
        <w:lastRenderedPageBreak/>
        <w:t>What are the main government and non-government bodies (eg, representative bodies), which administer or deal with housing, land and property?</w:t>
      </w:r>
    </w:p>
    <w:bookmarkEnd w:id="69"/>
    <w:p w:rsidR="002D47F2" w:rsidRDefault="002D47F2" w:rsidP="00E273DA">
      <w:pPr>
        <w:ind w:left="709"/>
        <w:rPr>
          <w:color w:val="000000" w:themeColor="text1"/>
        </w:rPr>
      </w:pPr>
      <w:r>
        <w:rPr>
          <w:color w:val="000000" w:themeColor="text1"/>
        </w:rPr>
        <w:t xml:space="preserve">The government body responsible for administering housing, land and property is the Ministry of Lands and Natural Resources, whose head office is located in Nuku'alofa. The Ministry houses the </w:t>
      </w:r>
      <w:r w:rsidRPr="00C63AAA">
        <w:rPr>
          <w:color w:val="000000" w:themeColor="text1"/>
        </w:rPr>
        <w:t xml:space="preserve">National Spatial Planning </w:t>
      </w:r>
      <w:r>
        <w:rPr>
          <w:color w:val="000000" w:themeColor="text1"/>
        </w:rPr>
        <w:t>Authority, which is responsible for administering planning law.</w:t>
      </w:r>
    </w:p>
    <w:p w:rsidR="002D47F2" w:rsidRDefault="002D47F2" w:rsidP="00E273DA">
      <w:pPr>
        <w:pStyle w:val="AllensHeading2"/>
      </w:pPr>
      <w:bookmarkStart w:id="70" w:name="_Toc513117794"/>
      <w:r>
        <w:t>Documenting tenure</w:t>
      </w:r>
      <w:bookmarkEnd w:id="70"/>
    </w:p>
    <w:p w:rsidR="002D47F2" w:rsidRPr="00A529FC" w:rsidRDefault="002D47F2" w:rsidP="00E273DA">
      <w:pPr>
        <w:pStyle w:val="AllensHeading3"/>
        <w:rPr>
          <w:b/>
        </w:rPr>
      </w:pPr>
      <w:r w:rsidRPr="00A529FC">
        <w:rPr>
          <w:b/>
        </w:rPr>
        <w:t>What statutory instruments or legal documents (eg, title deeds or leases) are used to create or transfer tenure?</w:t>
      </w:r>
    </w:p>
    <w:p w:rsidR="002D47F2" w:rsidRDefault="002D47F2" w:rsidP="00E273DA">
      <w:pPr>
        <w:pStyle w:val="NormalIndent"/>
        <w:ind w:left="720"/>
      </w:pPr>
      <w:r>
        <w:t>The table below identifies the statutory instruments used to create and transfer registered interests in land. Further information about these instruments is provided in the sections below.</w:t>
      </w:r>
    </w:p>
    <w:tbl>
      <w:tblPr>
        <w:tblStyle w:val="TableGrid"/>
        <w:tblW w:w="7948" w:type="dxa"/>
        <w:jc w:val="center"/>
        <w:tblInd w:w="2820" w:type="dxa"/>
        <w:tblLook w:val="04A0" w:firstRow="1" w:lastRow="0" w:firstColumn="1" w:lastColumn="0" w:noHBand="0" w:noVBand="1"/>
      </w:tblPr>
      <w:tblGrid>
        <w:gridCol w:w="2000"/>
        <w:gridCol w:w="5948"/>
      </w:tblGrid>
      <w:tr w:rsidR="002D47F2" w:rsidTr="00E273DA">
        <w:trPr>
          <w:jc w:val="center"/>
        </w:trPr>
        <w:tc>
          <w:tcPr>
            <w:tcW w:w="2000" w:type="dxa"/>
            <w:shd w:val="pct10" w:color="auto" w:fill="auto"/>
          </w:tcPr>
          <w:p w:rsidR="002D47F2" w:rsidRPr="001B42FD" w:rsidRDefault="002D47F2" w:rsidP="00E273DA">
            <w:pPr>
              <w:pStyle w:val="NormalIndent"/>
              <w:ind w:left="0"/>
              <w:rPr>
                <w:b/>
              </w:rPr>
            </w:pPr>
            <w:r w:rsidRPr="001B42FD">
              <w:rPr>
                <w:b/>
              </w:rPr>
              <w:t>Hereditary estates</w:t>
            </w:r>
          </w:p>
        </w:tc>
        <w:tc>
          <w:tcPr>
            <w:tcW w:w="5948" w:type="dxa"/>
          </w:tcPr>
          <w:p w:rsidR="002D47F2" w:rsidRDefault="002D47F2" w:rsidP="00E273DA">
            <w:pPr>
              <w:pStyle w:val="NormalIndent"/>
              <w:ind w:left="0"/>
            </w:pPr>
            <w:proofErr w:type="spellStart"/>
            <w:r>
              <w:t>Tofia</w:t>
            </w:r>
            <w:proofErr w:type="spellEnd"/>
            <w:r>
              <w:t xml:space="preserve"> Certificate</w:t>
            </w:r>
          </w:p>
        </w:tc>
      </w:tr>
      <w:tr w:rsidR="002D47F2" w:rsidTr="00E273DA">
        <w:trPr>
          <w:jc w:val="center"/>
        </w:trPr>
        <w:tc>
          <w:tcPr>
            <w:tcW w:w="2000" w:type="dxa"/>
            <w:shd w:val="pct10" w:color="auto" w:fill="auto"/>
          </w:tcPr>
          <w:p w:rsidR="002D47F2" w:rsidRPr="005B4A4F" w:rsidRDefault="002D47F2" w:rsidP="00E273DA">
            <w:pPr>
              <w:pStyle w:val="NormalIndent"/>
              <w:ind w:left="0"/>
              <w:rPr>
                <w:b/>
              </w:rPr>
            </w:pPr>
            <w:r w:rsidRPr="005B4A4F">
              <w:rPr>
                <w:b/>
              </w:rPr>
              <w:t>Allotments</w:t>
            </w:r>
          </w:p>
        </w:tc>
        <w:tc>
          <w:tcPr>
            <w:tcW w:w="5948" w:type="dxa"/>
          </w:tcPr>
          <w:p w:rsidR="002D47F2" w:rsidRDefault="002D47F2" w:rsidP="00E273DA">
            <w:pPr>
              <w:pStyle w:val="NormalIndent"/>
              <w:ind w:left="0"/>
            </w:pPr>
            <w:r>
              <w:t>Form of</w:t>
            </w:r>
            <w:r w:rsidRPr="00E81752">
              <w:t xml:space="preserve"> Application </w:t>
            </w:r>
            <w:r>
              <w:t>f</w:t>
            </w:r>
            <w:r w:rsidRPr="00E81752">
              <w:t>or Allotment</w:t>
            </w:r>
          </w:p>
          <w:p w:rsidR="002D47F2" w:rsidRDefault="002D47F2" w:rsidP="00E273DA">
            <w:pPr>
              <w:pStyle w:val="NormalIndent"/>
              <w:ind w:left="0"/>
            </w:pPr>
            <w:r>
              <w:t>Deed of Grant of Allotment</w:t>
            </w:r>
          </w:p>
        </w:tc>
      </w:tr>
      <w:tr w:rsidR="002D47F2" w:rsidTr="00E273DA">
        <w:trPr>
          <w:jc w:val="center"/>
        </w:trPr>
        <w:tc>
          <w:tcPr>
            <w:tcW w:w="2000" w:type="dxa"/>
            <w:shd w:val="pct10" w:color="auto" w:fill="auto"/>
          </w:tcPr>
          <w:p w:rsidR="002D47F2" w:rsidRPr="001B42FD" w:rsidRDefault="002D47F2" w:rsidP="00E273DA">
            <w:pPr>
              <w:pStyle w:val="NormalIndent"/>
              <w:ind w:left="0"/>
              <w:rPr>
                <w:b/>
              </w:rPr>
            </w:pPr>
            <w:r w:rsidRPr="001B42FD">
              <w:rPr>
                <w:b/>
              </w:rPr>
              <w:t>Leases</w:t>
            </w:r>
          </w:p>
        </w:tc>
        <w:tc>
          <w:tcPr>
            <w:tcW w:w="5948" w:type="dxa"/>
          </w:tcPr>
          <w:p w:rsidR="002D47F2" w:rsidRDefault="002D47F2" w:rsidP="00E273DA">
            <w:pPr>
              <w:pStyle w:val="NormalIndent"/>
              <w:ind w:left="0"/>
            </w:pPr>
            <w:r>
              <w:t>Form of</w:t>
            </w:r>
            <w:r w:rsidRPr="00E81752">
              <w:t xml:space="preserve"> Application </w:t>
            </w:r>
            <w:r>
              <w:t>f</w:t>
            </w:r>
            <w:r w:rsidRPr="00E81752">
              <w:t xml:space="preserve">or </w:t>
            </w:r>
            <w:r>
              <w:t>Lease (Form No 1)</w:t>
            </w:r>
          </w:p>
          <w:p w:rsidR="002D47F2" w:rsidRDefault="002D47F2" w:rsidP="00E273DA">
            <w:pPr>
              <w:pStyle w:val="NormalIndent"/>
              <w:ind w:left="0"/>
            </w:pPr>
            <w:r>
              <w:t>Form of Lease (Form No 3)</w:t>
            </w:r>
          </w:p>
          <w:p w:rsidR="002D47F2" w:rsidRDefault="002D47F2" w:rsidP="00E273DA">
            <w:pPr>
              <w:pStyle w:val="NormalIndent"/>
              <w:ind w:left="0"/>
            </w:pPr>
            <w:r>
              <w:t>Form of Sub-Lease (Form No 4)</w:t>
            </w:r>
          </w:p>
          <w:p w:rsidR="002D47F2" w:rsidRDefault="002D47F2" w:rsidP="00E273DA">
            <w:pPr>
              <w:pStyle w:val="NormalIndent"/>
              <w:ind w:left="0"/>
            </w:pPr>
            <w:r>
              <w:t>Form of Transfer (Form No 5)</w:t>
            </w:r>
          </w:p>
        </w:tc>
      </w:tr>
      <w:tr w:rsidR="002D47F2" w:rsidTr="00E273DA">
        <w:trPr>
          <w:jc w:val="center"/>
        </w:trPr>
        <w:tc>
          <w:tcPr>
            <w:tcW w:w="2000" w:type="dxa"/>
            <w:shd w:val="pct10" w:color="auto" w:fill="auto"/>
          </w:tcPr>
          <w:p w:rsidR="002D47F2" w:rsidRPr="001B42FD" w:rsidRDefault="002D47F2" w:rsidP="00E273DA">
            <w:pPr>
              <w:pStyle w:val="NormalIndent"/>
              <w:ind w:left="0"/>
              <w:rPr>
                <w:b/>
              </w:rPr>
            </w:pPr>
            <w:r>
              <w:rPr>
                <w:b/>
              </w:rPr>
              <w:t>Permits</w:t>
            </w:r>
          </w:p>
        </w:tc>
        <w:tc>
          <w:tcPr>
            <w:tcW w:w="5948" w:type="dxa"/>
          </w:tcPr>
          <w:p w:rsidR="002D47F2" w:rsidRDefault="002D47F2" w:rsidP="00E273DA">
            <w:pPr>
              <w:pStyle w:val="NormalIndent"/>
              <w:ind w:left="0"/>
            </w:pPr>
            <w:r>
              <w:t>Form of Permit (Form No 6)</w:t>
            </w:r>
          </w:p>
        </w:tc>
      </w:tr>
    </w:tbl>
    <w:p w:rsidR="002D47F2" w:rsidRDefault="002D47F2" w:rsidP="00E273DA">
      <w:pPr>
        <w:pStyle w:val="NormalIndent"/>
      </w:pPr>
      <w:r>
        <w:t xml:space="preserve">The above interests in land do not come into existence until and unless they have been registered. The </w:t>
      </w:r>
      <w:r w:rsidRPr="001B2B24">
        <w:rPr>
          <w:i/>
        </w:rPr>
        <w:t>Constitution</w:t>
      </w:r>
      <w:r>
        <w:t xml:space="preserve"> and the </w:t>
      </w:r>
      <w:r w:rsidRPr="001B2B24">
        <w:rPr>
          <w:i/>
        </w:rPr>
        <w:t>Land Act</w:t>
      </w:r>
      <w:r>
        <w:t xml:space="preserve"> explicitly provide that leases, sub-leases, lease transfers and permits are not valid until and unless they are registered by the Minister.</w:t>
      </w:r>
      <w:r>
        <w:rPr>
          <w:rStyle w:val="FootnoteReference"/>
        </w:rPr>
        <w:footnoteReference w:id="78"/>
      </w:r>
    </w:p>
    <w:p w:rsidR="002D47F2" w:rsidRDefault="002D47F2" w:rsidP="00E273DA">
      <w:pPr>
        <w:pStyle w:val="NormalIndent"/>
      </w:pPr>
      <w:r>
        <w:t>According to case law, a narrow exception to this general rule may be available where a person inherits a registered interest in land, but fails to have the interest registered in their name in a timely manner. In this situation, they may still hold the interest notwithstanding the lack of registration.</w:t>
      </w:r>
      <w:r>
        <w:rPr>
          <w:rStyle w:val="FootnoteReference"/>
        </w:rPr>
        <w:footnoteReference w:id="79"/>
      </w:r>
      <w:r>
        <w:t xml:space="preserve"> Absent registration, however, that person may have difficulty proving ownership.</w:t>
      </w:r>
    </w:p>
    <w:p w:rsidR="002D47F2" w:rsidRPr="00D52502" w:rsidRDefault="002D47F2" w:rsidP="00E273DA">
      <w:pPr>
        <w:pStyle w:val="AllensHeading4"/>
        <w:rPr>
          <w:b/>
        </w:rPr>
      </w:pPr>
      <w:r w:rsidRPr="00D52502">
        <w:rPr>
          <w:b/>
        </w:rPr>
        <w:t>Hereditary estates</w:t>
      </w:r>
    </w:p>
    <w:p w:rsidR="002D47F2" w:rsidRDefault="002D47F2" w:rsidP="00E273DA">
      <w:pPr>
        <w:pStyle w:val="NormalIndent"/>
        <w:ind w:left="1418"/>
      </w:pPr>
      <w:r>
        <w:t xml:space="preserve">A hereditary estate is evidenced by a </w:t>
      </w:r>
      <w:proofErr w:type="spellStart"/>
      <w:r w:rsidRPr="008F34C2">
        <w:rPr>
          <w:i/>
        </w:rPr>
        <w:t>tofia</w:t>
      </w:r>
      <w:proofErr w:type="spellEnd"/>
      <w:r w:rsidRPr="008F34C2">
        <w:rPr>
          <w:i/>
        </w:rPr>
        <w:t xml:space="preserve"> certificate</w:t>
      </w:r>
      <w:r>
        <w:t xml:space="preserve">, which contains a description and diagram of the lands comprising the estate. </w:t>
      </w:r>
      <w:r w:rsidRPr="005164A3">
        <w:t>The Minister is required to maintain a register of hereditary estates</w:t>
      </w:r>
      <w:r>
        <w:t xml:space="preserve"> </w:t>
      </w:r>
      <w:r w:rsidRPr="00251DB1">
        <w:t>in his office at Nuku'alofa</w:t>
      </w:r>
      <w:r w:rsidRPr="005164A3">
        <w:t>.</w:t>
      </w:r>
      <w:r w:rsidRPr="005164A3">
        <w:rPr>
          <w:vertAlign w:val="superscript"/>
        </w:rPr>
        <w:footnoteReference w:id="80"/>
      </w:r>
      <w:r w:rsidRPr="005164A3">
        <w:t xml:space="preserve"> </w:t>
      </w:r>
      <w:r>
        <w:t xml:space="preserve">Every </w:t>
      </w:r>
      <w:proofErr w:type="spellStart"/>
      <w:r>
        <w:t>tofia</w:t>
      </w:r>
      <w:proofErr w:type="spellEnd"/>
      <w:r>
        <w:t xml:space="preserve"> certificate is, therefore, made in duplicate: one copy is delivered to and held by the Noble or Chief, the other copy is held on the register.</w:t>
      </w:r>
    </w:p>
    <w:p w:rsidR="002D47F2" w:rsidRDefault="002D47F2" w:rsidP="00E273DA">
      <w:pPr>
        <w:pStyle w:val="NormalIndent"/>
        <w:ind w:left="1418"/>
      </w:pPr>
      <w:r>
        <w:t xml:space="preserve">A </w:t>
      </w:r>
      <w:proofErr w:type="spellStart"/>
      <w:r>
        <w:t>tofia</w:t>
      </w:r>
      <w:proofErr w:type="spellEnd"/>
      <w:r>
        <w:t xml:space="preserve"> certificate must have an endorsement or an attachment containing a schedule of all of the allotments and/or leases granted out of the hereditary estate.</w:t>
      </w:r>
      <w:r>
        <w:rPr>
          <w:rStyle w:val="FootnoteReference"/>
        </w:rPr>
        <w:footnoteReference w:id="81"/>
      </w:r>
      <w:r>
        <w:t xml:space="preserve"> Whenever a new allotment or lease is registered, it is added to each copy of the </w:t>
      </w:r>
      <w:proofErr w:type="spellStart"/>
      <w:r>
        <w:t>tofia</w:t>
      </w:r>
      <w:proofErr w:type="spellEnd"/>
      <w:r>
        <w:t xml:space="preserve"> certificate.</w:t>
      </w:r>
      <w:r>
        <w:rPr>
          <w:rStyle w:val="FootnoteReference"/>
        </w:rPr>
        <w:footnoteReference w:id="82"/>
      </w:r>
    </w:p>
    <w:p w:rsidR="002D47F2" w:rsidRDefault="002D47F2" w:rsidP="00E273DA">
      <w:pPr>
        <w:pStyle w:val="NormalIndent"/>
        <w:ind w:left="1418"/>
      </w:pPr>
      <w:r>
        <w:lastRenderedPageBreak/>
        <w:t xml:space="preserve">Upon the death of the holder of a hereditary estate, the King summons the successor in title to appear before him in the Privy Council to take the oath of allegiance. Within three days of taking the oath of allegiance, the successor must present the </w:t>
      </w:r>
      <w:proofErr w:type="spellStart"/>
      <w:r>
        <w:t>tofia</w:t>
      </w:r>
      <w:proofErr w:type="spellEnd"/>
      <w:r>
        <w:t xml:space="preserve"> certificate held by his predecessor to the Minister.</w:t>
      </w:r>
      <w:r>
        <w:rPr>
          <w:rStyle w:val="FootnoteReference"/>
        </w:rPr>
        <w:footnoteReference w:id="83"/>
      </w:r>
    </w:p>
    <w:p w:rsidR="002D47F2" w:rsidRDefault="002D47F2" w:rsidP="00E273DA">
      <w:pPr>
        <w:pStyle w:val="NormalIndent"/>
        <w:ind w:left="1418"/>
      </w:pPr>
      <w:r>
        <w:t xml:space="preserve">The Minister endorses the </w:t>
      </w:r>
      <w:proofErr w:type="spellStart"/>
      <w:r>
        <w:t>tofia</w:t>
      </w:r>
      <w:proofErr w:type="spellEnd"/>
      <w:r>
        <w:t xml:space="preserve"> certificate, and the duplicate held on the register, with a memorial of registration stipulating the name of the male heir, and the date on which he became entitled to the hereditary estate.</w:t>
      </w:r>
      <w:r>
        <w:rPr>
          <w:rStyle w:val="FootnoteReference"/>
        </w:rPr>
        <w:footnoteReference w:id="84"/>
      </w:r>
    </w:p>
    <w:p w:rsidR="002D47F2" w:rsidRPr="00D52502" w:rsidRDefault="002D47F2" w:rsidP="00E273DA">
      <w:pPr>
        <w:pStyle w:val="AllensHeading4"/>
        <w:rPr>
          <w:b/>
        </w:rPr>
      </w:pPr>
      <w:r w:rsidRPr="00D52502">
        <w:rPr>
          <w:b/>
        </w:rPr>
        <w:t>Allotments</w:t>
      </w:r>
    </w:p>
    <w:p w:rsidR="002D47F2" w:rsidRPr="00D52502" w:rsidRDefault="002D47F2" w:rsidP="00E273DA">
      <w:pPr>
        <w:pStyle w:val="AllensHeading5"/>
        <w:rPr>
          <w:b/>
        </w:rPr>
      </w:pPr>
      <w:r w:rsidRPr="00D52502">
        <w:rPr>
          <w:b/>
        </w:rPr>
        <w:t>Application for allotment</w:t>
      </w:r>
    </w:p>
    <w:p w:rsidR="002D47F2" w:rsidRDefault="002D47F2" w:rsidP="00E273DA">
      <w:pPr>
        <w:pStyle w:val="NormalIndent"/>
        <w:ind w:left="2126"/>
      </w:pPr>
      <w:r>
        <w:t>An application for an allotment must be made using the 'Form of</w:t>
      </w:r>
      <w:r w:rsidRPr="00E81752">
        <w:t xml:space="preserve"> Application </w:t>
      </w:r>
      <w:r>
        <w:t>f</w:t>
      </w:r>
      <w:r w:rsidRPr="00E81752">
        <w:t>or Allotment</w:t>
      </w:r>
      <w:r>
        <w:t>'. If the application is successful, the Minister executes a 'Deed of Grant of Allotment' (</w:t>
      </w:r>
      <w:r w:rsidRPr="00B46F6A">
        <w:rPr>
          <w:b/>
          <w:i/>
        </w:rPr>
        <w:t>Deed of Grant</w:t>
      </w:r>
      <w:r>
        <w:t>) in duplicate: one copy is delivered to the grantee, and the other copy is held on the register.</w:t>
      </w:r>
      <w:r>
        <w:rPr>
          <w:rStyle w:val="FootnoteReference"/>
        </w:rPr>
        <w:footnoteReference w:id="85"/>
      </w:r>
      <w:r>
        <w:t xml:space="preserve"> The Deed of Grant must be in the form in Schedule V to the </w:t>
      </w:r>
      <w:r w:rsidRPr="004737C0">
        <w:rPr>
          <w:i/>
        </w:rPr>
        <w:t>Land Act</w:t>
      </w:r>
      <w:r>
        <w:t>, and must contain a description and a diagram of the land.</w:t>
      </w:r>
    </w:p>
    <w:p w:rsidR="002D47F2" w:rsidRPr="00D52502" w:rsidRDefault="002D47F2" w:rsidP="00E273DA">
      <w:pPr>
        <w:pStyle w:val="AllensHeading5"/>
        <w:rPr>
          <w:b/>
        </w:rPr>
      </w:pPr>
      <w:r w:rsidRPr="00D52502">
        <w:rPr>
          <w:b/>
        </w:rPr>
        <w:t>Inheritance of allotment</w:t>
      </w:r>
    </w:p>
    <w:p w:rsidR="002D47F2" w:rsidRDefault="002D47F2" w:rsidP="00E273DA">
      <w:pPr>
        <w:pStyle w:val="AllensHeading4"/>
        <w:numPr>
          <w:ilvl w:val="0"/>
          <w:numId w:val="0"/>
        </w:numPr>
        <w:ind w:left="2126"/>
      </w:pPr>
      <w:r>
        <w:t>Within one month of becoming entitled to inherit an allotment, a male heir must present the Minister with the Deed of Grant held by his predecessor. The Minister must endorse the Deed of Grant, and the duplicate held on the register with a memorial of registration stipulating the date on which the heir became entitled to the allotment, and a description of how they became entitled.</w:t>
      </w:r>
      <w:r>
        <w:rPr>
          <w:rStyle w:val="FootnoteReference"/>
        </w:rPr>
        <w:footnoteReference w:id="86"/>
      </w:r>
    </w:p>
    <w:p w:rsidR="002D47F2" w:rsidRPr="00D52502" w:rsidRDefault="002D47F2" w:rsidP="00E273DA">
      <w:pPr>
        <w:pStyle w:val="AllensHeading4"/>
        <w:rPr>
          <w:b/>
        </w:rPr>
      </w:pPr>
      <w:r w:rsidRPr="00D52502">
        <w:rPr>
          <w:b/>
        </w:rPr>
        <w:t>Leases</w:t>
      </w:r>
      <w:r>
        <w:rPr>
          <w:b/>
        </w:rPr>
        <w:t>, sub-leases</w:t>
      </w:r>
      <w:r w:rsidRPr="00D52502">
        <w:rPr>
          <w:b/>
        </w:rPr>
        <w:t xml:space="preserve"> and permits</w:t>
      </w:r>
    </w:p>
    <w:p w:rsidR="002D47F2" w:rsidRDefault="002D47F2" w:rsidP="00E273DA">
      <w:pPr>
        <w:pStyle w:val="NormalIndent"/>
        <w:ind w:left="1418"/>
      </w:pPr>
      <w:r>
        <w:t xml:space="preserve">A lease, sub-lease, lease transfer or permit is made in duplicate using the forms set out in Schedule IX to the </w:t>
      </w:r>
      <w:r w:rsidRPr="00A84061">
        <w:rPr>
          <w:i/>
        </w:rPr>
        <w:t>Land Act</w:t>
      </w:r>
      <w:r>
        <w:t>, namely the 'Form of Lease', 'Form of Sub-Lease', 'Form of Permit' or 'Form of Transfer'.</w:t>
      </w:r>
      <w:r>
        <w:rPr>
          <w:rStyle w:val="FootnoteReference"/>
        </w:rPr>
        <w:footnoteReference w:id="87"/>
      </w:r>
    </w:p>
    <w:p w:rsidR="002D47F2" w:rsidRDefault="002D47F2" w:rsidP="00E273DA">
      <w:pPr>
        <w:pStyle w:val="NormalIndent"/>
        <w:ind w:left="1418"/>
      </w:pPr>
      <w:r>
        <w:t>One copy of the relevant Form is delivered to the grantee, and the other copy is held on the register. The Minister endorses the grantee's copy of the Form with a memorial of registration stipulating when the instrument was registered and where it appears in the register.</w:t>
      </w:r>
      <w:r>
        <w:rPr>
          <w:rStyle w:val="FootnoteReference"/>
        </w:rPr>
        <w:footnoteReference w:id="88"/>
      </w:r>
    </w:p>
    <w:p w:rsidR="002D47F2" w:rsidRDefault="002D47F2" w:rsidP="00E273DA">
      <w:pPr>
        <w:pStyle w:val="NormalIndent"/>
        <w:ind w:left="1418"/>
      </w:pPr>
      <w:r>
        <w:t xml:space="preserve">For sub-leases and lease transfers, there is an additional requirement: the Minister must endorse a memorial of registration on the </w:t>
      </w:r>
      <w:r w:rsidRPr="00A84061">
        <w:rPr>
          <w:i/>
        </w:rPr>
        <w:t>grantor's</w:t>
      </w:r>
      <w:r>
        <w:t xml:space="preserve"> lease.</w:t>
      </w:r>
      <w:r>
        <w:rPr>
          <w:rStyle w:val="FootnoteReference"/>
        </w:rPr>
        <w:footnoteReference w:id="89"/>
      </w:r>
      <w:r>
        <w:t xml:space="preserve"> This requirement applies to both the copy of the lease held on the register, and the copy held by the grantor.</w:t>
      </w:r>
    </w:p>
    <w:p w:rsidR="002D47F2" w:rsidRPr="00D52502" w:rsidRDefault="002D47F2" w:rsidP="00E273DA">
      <w:pPr>
        <w:pStyle w:val="AllensHeading3"/>
        <w:rPr>
          <w:b/>
        </w:rPr>
      </w:pPr>
      <w:r w:rsidRPr="00D52502">
        <w:rPr>
          <w:b/>
        </w:rPr>
        <w:t>What non-legal documents or actions (eg, verbal agreements or handshakes) are used to create or transfer tenure?</w:t>
      </w:r>
    </w:p>
    <w:p w:rsidR="002D47F2" w:rsidRDefault="002D47F2" w:rsidP="00E273DA">
      <w:pPr>
        <w:pStyle w:val="NormalIndent"/>
        <w:ind w:left="720"/>
      </w:pPr>
      <w:r>
        <w:t>As a general rule, legal tenure cannot be created or transferred other than via registration. There are two notable exceptions to this general rule.</w:t>
      </w:r>
    </w:p>
    <w:p w:rsidR="002D47F2" w:rsidRDefault="002D47F2" w:rsidP="00E273DA">
      <w:pPr>
        <w:pStyle w:val="Bullet2"/>
      </w:pPr>
      <w:r>
        <w:lastRenderedPageBreak/>
        <w:t>First, a sub-lease for 3 years or less does not need to be registered.</w:t>
      </w:r>
      <w:r>
        <w:rPr>
          <w:rStyle w:val="FootnoteReference"/>
        </w:rPr>
        <w:footnoteReference w:id="90"/>
      </w:r>
      <w:r>
        <w:t xml:space="preserve"> However, in order to be legally enforceable, a sub-lease will need to meet the key requirements of contract formation and be in the form prescribed by the Land Act.</w:t>
      </w:r>
      <w:r>
        <w:rPr>
          <w:rStyle w:val="FootnoteReference"/>
        </w:rPr>
        <w:footnoteReference w:id="91"/>
      </w:r>
    </w:p>
    <w:p w:rsidR="002D47F2" w:rsidRDefault="002D47F2" w:rsidP="00E273DA">
      <w:pPr>
        <w:pStyle w:val="Bullet2"/>
      </w:pPr>
      <w:r>
        <w:t xml:space="preserve">Second, even if it has not been registered, a tenancy agreement may be legally enforceable. However, once again, in order to be legally enforceable, a tenancy agreement will need to meet the key requirements of contract formation. </w:t>
      </w:r>
    </w:p>
    <w:p w:rsidR="002D47F2" w:rsidRPr="00A529FC" w:rsidRDefault="002D47F2" w:rsidP="00E273DA">
      <w:pPr>
        <w:pStyle w:val="AllensHeading2"/>
      </w:pPr>
      <w:bookmarkStart w:id="71" w:name="_Ref473990271"/>
      <w:bookmarkStart w:id="72" w:name="_Toc513117795"/>
      <w:bookmarkStart w:id="73" w:name="_Ref472535422"/>
      <w:r>
        <w:t>Customary ownership</w:t>
      </w:r>
      <w:bookmarkEnd w:id="71"/>
      <w:bookmarkEnd w:id="72"/>
    </w:p>
    <w:p w:rsidR="002D47F2" w:rsidRPr="00A529FC" w:rsidRDefault="002D47F2" w:rsidP="00E273DA">
      <w:pPr>
        <w:pStyle w:val="AllensHeading3"/>
        <w:rPr>
          <w:b/>
        </w:rPr>
      </w:pPr>
      <w:r w:rsidRPr="00A529FC">
        <w:rPr>
          <w:rFonts w:eastAsiaTheme="minorHAnsi"/>
          <w:b/>
          <w:lang w:eastAsia="en-US"/>
        </w:rPr>
        <w:t>Is customary ownership of land legally recognised? If so, what is the basis for legal recognition (eg, constitution, national legislation)?</w:t>
      </w:r>
      <w:bookmarkEnd w:id="73"/>
    </w:p>
    <w:p w:rsidR="002D47F2" w:rsidRPr="00A529FC" w:rsidRDefault="002D47F2" w:rsidP="00E273DA">
      <w:pPr>
        <w:pStyle w:val="AllensHeading3"/>
        <w:rPr>
          <w:rFonts w:eastAsiaTheme="minorHAnsi"/>
          <w:b/>
          <w:lang w:eastAsia="en-US"/>
        </w:rPr>
      </w:pPr>
      <w:r w:rsidRPr="00A529FC">
        <w:rPr>
          <w:rFonts w:eastAsiaTheme="minorHAnsi"/>
          <w:b/>
          <w:lang w:eastAsia="en-US"/>
        </w:rPr>
        <w:t>What are the sources of customary rules (eg, village chief, elders, oral tradition)?</w:t>
      </w:r>
    </w:p>
    <w:p w:rsidR="002D47F2" w:rsidRPr="00A529FC" w:rsidRDefault="002D47F2" w:rsidP="00E273DA">
      <w:pPr>
        <w:pStyle w:val="AllensHeading3"/>
        <w:rPr>
          <w:rFonts w:eastAsiaTheme="minorHAnsi"/>
          <w:b/>
          <w:lang w:eastAsia="en-US"/>
        </w:rPr>
      </w:pPr>
      <w:r w:rsidRPr="00A529FC">
        <w:rPr>
          <w:rFonts w:eastAsiaTheme="minorHAnsi"/>
          <w:b/>
          <w:lang w:eastAsia="en-US"/>
        </w:rPr>
        <w:t>What are the customary rules governing housing, land and property?</w:t>
      </w:r>
    </w:p>
    <w:p w:rsidR="002D47F2" w:rsidRDefault="002D47F2" w:rsidP="00E273DA">
      <w:pPr>
        <w:pStyle w:val="AllensHeading3"/>
        <w:rPr>
          <w:rFonts w:eastAsiaTheme="minorHAnsi"/>
          <w:lang w:eastAsia="en-US"/>
        </w:rPr>
      </w:pPr>
      <w:r w:rsidRPr="00A529FC">
        <w:rPr>
          <w:rFonts w:eastAsiaTheme="minorHAnsi"/>
          <w:b/>
          <w:lang w:eastAsia="en-US"/>
        </w:rPr>
        <w:t>What is the relationship between traditional legal ownership and customary ownership of land? Does the former override the latter</w:t>
      </w:r>
      <w:r w:rsidRPr="00231E04">
        <w:rPr>
          <w:rFonts w:eastAsiaTheme="minorHAnsi"/>
          <w:lang w:eastAsia="en-US"/>
        </w:rPr>
        <w:t>?</w:t>
      </w:r>
    </w:p>
    <w:p w:rsidR="002D47F2" w:rsidRDefault="002D47F2" w:rsidP="00E273DA">
      <w:pPr>
        <w:pStyle w:val="NormalIndent"/>
        <w:ind w:left="720"/>
        <w:rPr>
          <w:rFonts w:eastAsiaTheme="minorHAnsi"/>
          <w:lang w:eastAsia="en-US"/>
        </w:rPr>
      </w:pPr>
      <w:r>
        <w:rPr>
          <w:rFonts w:eastAsiaTheme="minorHAnsi"/>
          <w:lang w:eastAsia="en-US"/>
        </w:rPr>
        <w:t xml:space="preserve">The above questions are not relevant to Tonga. Unlike many countries in the Pacific, Tonga does </w:t>
      </w:r>
      <w:r w:rsidRPr="00D912C6">
        <w:rPr>
          <w:rFonts w:eastAsiaTheme="minorHAnsi"/>
          <w:lang w:eastAsia="en-US"/>
        </w:rPr>
        <w:t xml:space="preserve">not </w:t>
      </w:r>
      <w:r>
        <w:rPr>
          <w:rFonts w:eastAsiaTheme="minorHAnsi"/>
          <w:lang w:eastAsia="en-US"/>
        </w:rPr>
        <w:t xml:space="preserve">have a customary property law system that runs in parallel with statutory land law. The sources of Tongan land law are the </w:t>
      </w:r>
      <w:r w:rsidRPr="00EE2091">
        <w:rPr>
          <w:rFonts w:eastAsiaTheme="minorHAnsi"/>
          <w:i/>
          <w:lang w:eastAsia="en-US"/>
        </w:rPr>
        <w:t>Constitution</w:t>
      </w:r>
      <w:r>
        <w:rPr>
          <w:rFonts w:eastAsiaTheme="minorHAnsi"/>
          <w:lang w:eastAsia="en-US"/>
        </w:rPr>
        <w:t xml:space="preserve"> and statutory law, predominantly the </w:t>
      </w:r>
      <w:r w:rsidRPr="00EE2091">
        <w:rPr>
          <w:rFonts w:eastAsiaTheme="minorHAnsi"/>
          <w:i/>
          <w:lang w:eastAsia="en-US"/>
        </w:rPr>
        <w:t>Land Act</w:t>
      </w:r>
      <w:r>
        <w:rPr>
          <w:rFonts w:eastAsiaTheme="minorHAnsi"/>
          <w:lang w:eastAsia="en-US"/>
        </w:rPr>
        <w:t>.</w:t>
      </w:r>
    </w:p>
    <w:p w:rsidR="002D47F2" w:rsidRDefault="002D47F2" w:rsidP="00E273DA">
      <w:pPr>
        <w:pStyle w:val="AllensHeading2"/>
      </w:pPr>
      <w:bookmarkStart w:id="74" w:name="_Toc513117796"/>
      <w:bookmarkStart w:id="75" w:name="Informal_settle"/>
      <w:r>
        <w:t>Informal settlements</w:t>
      </w:r>
      <w:bookmarkEnd w:id="74"/>
    </w:p>
    <w:bookmarkEnd w:id="75"/>
    <w:p w:rsidR="002D47F2" w:rsidRPr="00A529FC" w:rsidRDefault="002D47F2" w:rsidP="00E273DA">
      <w:pPr>
        <w:pStyle w:val="AllensHeading3"/>
        <w:rPr>
          <w:b/>
        </w:rPr>
      </w:pPr>
      <w:r w:rsidRPr="00A529FC">
        <w:rPr>
          <w:b/>
        </w:rPr>
        <w:t>What are the locations and boundaries of informal settlements?</w:t>
      </w:r>
    </w:p>
    <w:p w:rsidR="002D47F2" w:rsidRPr="00A529FC" w:rsidRDefault="002D47F2" w:rsidP="00E273DA">
      <w:pPr>
        <w:pStyle w:val="AllensHeading3"/>
        <w:rPr>
          <w:b/>
        </w:rPr>
      </w:pPr>
      <w:r w:rsidRPr="00A529FC">
        <w:rPr>
          <w:b/>
        </w:rPr>
        <w:t>What kinds of tenure arrangements are in place in informal settlements?</w:t>
      </w:r>
    </w:p>
    <w:p w:rsidR="002D47F2" w:rsidRDefault="002D47F2" w:rsidP="00E273DA">
      <w:pPr>
        <w:autoSpaceDE w:val="0"/>
        <w:autoSpaceDN w:val="0"/>
        <w:adjustRightInd w:val="0"/>
        <w:ind w:left="720"/>
        <w:rPr>
          <w:rFonts w:cs="Arial"/>
        </w:rPr>
      </w:pPr>
      <w:r>
        <w:rPr>
          <w:rFonts w:cs="Arial"/>
        </w:rPr>
        <w:t>There are currently no informal settlements in Tonga.</w:t>
      </w:r>
      <w:r>
        <w:rPr>
          <w:rStyle w:val="FootnoteReference"/>
          <w:rFonts w:cs="Arial"/>
        </w:rPr>
        <w:footnoteReference w:id="92"/>
      </w:r>
      <w:r>
        <w:rPr>
          <w:rFonts w:cs="Arial"/>
        </w:rPr>
        <w:t xml:space="preserve"> </w:t>
      </w:r>
      <w:r w:rsidRPr="005313C3">
        <w:rPr>
          <w:rFonts w:cs="Arial"/>
        </w:rPr>
        <w:t xml:space="preserve">In the 1970s and 1980s, migrants from the outer islands established an informal settlement named </w:t>
      </w:r>
      <w:proofErr w:type="spellStart"/>
      <w:r w:rsidRPr="005313C3">
        <w:rPr>
          <w:rFonts w:cs="Arial"/>
        </w:rPr>
        <w:t>Patangata</w:t>
      </w:r>
      <w:proofErr w:type="spellEnd"/>
      <w:r w:rsidRPr="005313C3">
        <w:rPr>
          <w:rFonts w:cs="Arial"/>
        </w:rPr>
        <w:t xml:space="preserve"> </w:t>
      </w:r>
      <w:r>
        <w:rPr>
          <w:rFonts w:cs="Arial"/>
        </w:rPr>
        <w:t xml:space="preserve">on the periphery of </w:t>
      </w:r>
      <w:r w:rsidRPr="005313C3">
        <w:rPr>
          <w:rFonts w:cs="Arial"/>
        </w:rPr>
        <w:t>Nuku'alofa.</w:t>
      </w:r>
      <w:r>
        <w:rPr>
          <w:rFonts w:cs="Arial"/>
        </w:rPr>
        <w:t xml:space="preserve"> In 2015</w:t>
      </w:r>
      <w:r w:rsidRPr="00D43B8E">
        <w:rPr>
          <w:rFonts w:cs="Arial"/>
        </w:rPr>
        <w:t xml:space="preserve">, the </w:t>
      </w:r>
      <w:r>
        <w:rPr>
          <w:rFonts w:cs="Arial"/>
        </w:rPr>
        <w:t>Government</w:t>
      </w:r>
      <w:r w:rsidRPr="00D43B8E">
        <w:rPr>
          <w:rFonts w:cs="Arial"/>
        </w:rPr>
        <w:t xml:space="preserve"> legalised the </w:t>
      </w:r>
      <w:proofErr w:type="spellStart"/>
      <w:r>
        <w:rPr>
          <w:rFonts w:cs="Arial"/>
        </w:rPr>
        <w:t>Patangata</w:t>
      </w:r>
      <w:proofErr w:type="spellEnd"/>
      <w:r>
        <w:rPr>
          <w:rFonts w:cs="Arial"/>
        </w:rPr>
        <w:t xml:space="preserve"> settlement</w:t>
      </w:r>
      <w:r w:rsidRPr="00D43B8E">
        <w:rPr>
          <w:rFonts w:cs="Arial"/>
        </w:rPr>
        <w:t xml:space="preserve"> by </w:t>
      </w:r>
      <w:r>
        <w:rPr>
          <w:rFonts w:cs="Arial"/>
        </w:rPr>
        <w:t>offering 30-year leases to the head of each of the 70 families which occupied the settlement. The lessees may have the option to renew in future.</w:t>
      </w:r>
    </w:p>
    <w:p w:rsidR="002D47F2" w:rsidRDefault="002D47F2" w:rsidP="00E273DA">
      <w:pPr>
        <w:autoSpaceDE w:val="0"/>
        <w:autoSpaceDN w:val="0"/>
        <w:adjustRightInd w:val="0"/>
        <w:ind w:left="720"/>
        <w:rPr>
          <w:rFonts w:cs="Arial"/>
        </w:rPr>
      </w:pPr>
      <w:r w:rsidRPr="005313C3">
        <w:rPr>
          <w:rFonts w:cs="Arial"/>
        </w:rPr>
        <w:t xml:space="preserve">Previously, conditions in </w:t>
      </w:r>
      <w:proofErr w:type="spellStart"/>
      <w:r>
        <w:rPr>
          <w:rFonts w:cs="Arial"/>
        </w:rPr>
        <w:t>Patangata</w:t>
      </w:r>
      <w:proofErr w:type="spellEnd"/>
      <w:r w:rsidRPr="005313C3">
        <w:rPr>
          <w:rFonts w:cs="Arial"/>
        </w:rPr>
        <w:t xml:space="preserve"> were p</w:t>
      </w:r>
      <w:r>
        <w:rPr>
          <w:rFonts w:cs="Arial"/>
        </w:rPr>
        <w:t xml:space="preserve">oor: residents lived predominantly in temporary housing without running water or electricity. Since </w:t>
      </w:r>
      <w:proofErr w:type="spellStart"/>
      <w:r>
        <w:rPr>
          <w:rFonts w:cs="Arial"/>
        </w:rPr>
        <w:t>Patangata</w:t>
      </w:r>
      <w:proofErr w:type="spellEnd"/>
      <w:r>
        <w:rPr>
          <w:rFonts w:cs="Arial"/>
        </w:rPr>
        <w:t xml:space="preserve"> was legalised in 2015, conditions have improved. The security of tenure provided by leases has encouraged families to build permanent dwellings, and households now have running water and electricity.</w:t>
      </w:r>
    </w:p>
    <w:p w:rsidR="002D47F2" w:rsidRDefault="002D47F2" w:rsidP="00E273DA">
      <w:pPr>
        <w:pStyle w:val="AllensHeading1"/>
        <w:rPr>
          <w:rFonts w:eastAsiaTheme="minorHAnsi"/>
          <w:lang w:eastAsia="en-US"/>
        </w:rPr>
      </w:pPr>
      <w:bookmarkStart w:id="76" w:name="_Toc513117797"/>
      <w:bookmarkStart w:id="77" w:name="Security_of_tenure_of_vulnerable_group"/>
      <w:r>
        <w:rPr>
          <w:rFonts w:eastAsiaTheme="minorHAnsi"/>
          <w:lang w:eastAsia="en-US"/>
        </w:rPr>
        <w:t>Security of tenure of vulnerable groups</w:t>
      </w:r>
      <w:bookmarkEnd w:id="76"/>
    </w:p>
    <w:p w:rsidR="002D47F2" w:rsidRPr="003D241A" w:rsidRDefault="002D47F2" w:rsidP="00E273DA">
      <w:pPr>
        <w:pStyle w:val="AllensHeading2"/>
        <w:rPr>
          <w:rFonts w:eastAsiaTheme="minorHAnsi"/>
          <w:iCs/>
          <w:lang w:val="en-GB" w:eastAsia="en-US"/>
        </w:rPr>
      </w:pPr>
      <w:bookmarkStart w:id="78" w:name="_Ref473989892"/>
      <w:bookmarkStart w:id="79" w:name="_Toc513117798"/>
      <w:bookmarkStart w:id="80" w:name="Women"/>
      <w:bookmarkEnd w:id="77"/>
      <w:r>
        <w:rPr>
          <w:rFonts w:eastAsiaTheme="minorHAnsi"/>
          <w:iCs/>
          <w:lang w:val="en-GB" w:eastAsia="en-US"/>
        </w:rPr>
        <w:t>Women</w:t>
      </w:r>
      <w:bookmarkEnd w:id="78"/>
      <w:bookmarkEnd w:id="79"/>
    </w:p>
    <w:bookmarkEnd w:id="80"/>
    <w:p w:rsidR="002D47F2" w:rsidRPr="003D241A" w:rsidRDefault="002D47F2" w:rsidP="00E273DA">
      <w:pPr>
        <w:pStyle w:val="AllensHeading3"/>
        <w:rPr>
          <w:rFonts w:eastAsiaTheme="minorHAnsi"/>
          <w:b/>
          <w:iCs/>
          <w:lang w:val="en-GB" w:eastAsia="en-US"/>
        </w:rPr>
      </w:pPr>
      <w:r w:rsidRPr="003D241A">
        <w:rPr>
          <w:rFonts w:eastAsiaTheme="minorHAnsi"/>
          <w:b/>
          <w:lang w:eastAsia="en-US"/>
        </w:rPr>
        <w:t>Can women legally own, rent or inherit land and housing?</w:t>
      </w:r>
    </w:p>
    <w:p w:rsidR="002D47F2" w:rsidRDefault="002D47F2" w:rsidP="00E273DA">
      <w:pPr>
        <w:pStyle w:val="NormalIndent"/>
        <w:rPr>
          <w:rFonts w:eastAsiaTheme="minorEastAsia"/>
          <w:lang w:val="en-GB" w:eastAsia="en-US"/>
        </w:rPr>
      </w:pPr>
      <w:r w:rsidRPr="003D241A">
        <w:rPr>
          <w:rFonts w:eastAsiaTheme="minorEastAsia"/>
          <w:lang w:val="en-GB" w:eastAsia="en-US"/>
        </w:rPr>
        <w:t xml:space="preserve">Women cannot </w:t>
      </w:r>
      <w:r>
        <w:rPr>
          <w:rFonts w:eastAsiaTheme="minorEastAsia"/>
          <w:lang w:val="en-GB" w:eastAsia="en-US"/>
        </w:rPr>
        <w:t>legally own or inherit a hereditary estate.</w:t>
      </w:r>
    </w:p>
    <w:p w:rsidR="002D47F2" w:rsidRPr="00DB2CFF" w:rsidRDefault="002D47F2" w:rsidP="00E273DA">
      <w:pPr>
        <w:pStyle w:val="Bullet2"/>
        <w:numPr>
          <w:ilvl w:val="0"/>
          <w:numId w:val="0"/>
        </w:numPr>
        <w:ind w:left="709"/>
      </w:pPr>
      <w:r>
        <w:rPr>
          <w:rFonts w:eastAsiaTheme="minorEastAsia"/>
          <w:lang w:val="en-GB" w:eastAsia="en-US"/>
        </w:rPr>
        <w:t xml:space="preserve">As indicated in section </w:t>
      </w:r>
      <w:r>
        <w:rPr>
          <w:rFonts w:eastAsiaTheme="minorEastAsia"/>
          <w:lang w:val="en-GB" w:eastAsia="en-US"/>
        </w:rPr>
        <w:fldChar w:fldCharType="begin"/>
      </w:r>
      <w:r>
        <w:rPr>
          <w:rFonts w:eastAsiaTheme="minorEastAsia"/>
          <w:lang w:val="en-GB" w:eastAsia="en-US"/>
        </w:rPr>
        <w:instrText xml:space="preserve"> REF _Ref472867221 \r \h </w:instrText>
      </w:r>
      <w:r>
        <w:rPr>
          <w:rFonts w:eastAsiaTheme="minorEastAsia"/>
          <w:lang w:val="en-GB" w:eastAsia="en-US"/>
        </w:rPr>
      </w:r>
      <w:r>
        <w:rPr>
          <w:rFonts w:eastAsiaTheme="minorEastAsia"/>
          <w:lang w:val="en-GB" w:eastAsia="en-US"/>
        </w:rPr>
        <w:fldChar w:fldCharType="separate"/>
      </w:r>
      <w:r w:rsidR="00961367">
        <w:rPr>
          <w:rFonts w:eastAsiaTheme="minorEastAsia"/>
          <w:lang w:val="en-GB" w:eastAsia="en-US"/>
        </w:rPr>
        <w:t>2.1(b</w:t>
      </w:r>
      <w:proofErr w:type="gramStart"/>
      <w:r w:rsidR="00961367">
        <w:rPr>
          <w:rFonts w:eastAsiaTheme="minorEastAsia"/>
          <w:lang w:val="en-GB" w:eastAsia="en-US"/>
        </w:rPr>
        <w:t>)(</w:t>
      </w:r>
      <w:proofErr w:type="gramEnd"/>
      <w:r w:rsidR="00961367">
        <w:rPr>
          <w:rFonts w:eastAsiaTheme="minorEastAsia"/>
          <w:lang w:val="en-GB" w:eastAsia="en-US"/>
        </w:rPr>
        <w:t>x)(B)</w:t>
      </w:r>
      <w:r>
        <w:rPr>
          <w:rFonts w:eastAsiaTheme="minorEastAsia"/>
          <w:lang w:val="en-GB" w:eastAsia="en-US"/>
        </w:rPr>
        <w:fldChar w:fldCharType="end"/>
      </w:r>
      <w:r>
        <w:rPr>
          <w:rFonts w:eastAsiaTheme="minorEastAsia"/>
          <w:lang w:val="en-GB" w:eastAsia="en-US"/>
        </w:rPr>
        <w:t xml:space="preserve"> above, women may only inherit and own an allotment in the following two circumstances. </w:t>
      </w:r>
      <w:r>
        <w:t xml:space="preserve">First, if an allotment holder dies without leaving </w:t>
      </w:r>
      <w:r w:rsidRPr="00DA7A6C">
        <w:rPr>
          <w:i/>
        </w:rPr>
        <w:t>any</w:t>
      </w:r>
      <w:r>
        <w:t xml:space="preserve"> male </w:t>
      </w:r>
      <w:proofErr w:type="gramStart"/>
      <w:r>
        <w:t>heir,</w:t>
      </w:r>
      <w:proofErr w:type="gramEnd"/>
      <w:r>
        <w:t xml:space="preserve"> his </w:t>
      </w:r>
      <w:r>
        <w:lastRenderedPageBreak/>
        <w:t>unmarried daughter(s) inherits a life estate in the allotment.</w:t>
      </w:r>
      <w:r>
        <w:rPr>
          <w:rStyle w:val="FootnoteReference"/>
        </w:rPr>
        <w:footnoteReference w:id="93"/>
      </w:r>
      <w:r>
        <w:t xml:space="preserve"> </w:t>
      </w:r>
      <w:r>
        <w:rPr>
          <w:rFonts w:eastAsiaTheme="minorEastAsia"/>
          <w:lang w:val="en-GB" w:eastAsia="en-US"/>
        </w:rPr>
        <w:t>Second, if an allotment holder dies</w:t>
      </w:r>
      <w:r w:rsidRPr="000614F2">
        <w:rPr>
          <w:lang w:val="en-GB"/>
        </w:rPr>
        <w:t xml:space="preserve">, his widow is entitled to </w:t>
      </w:r>
      <w:r>
        <w:rPr>
          <w:lang w:val="en-GB"/>
        </w:rPr>
        <w:t>a life estate in the allotment.</w:t>
      </w:r>
      <w:r>
        <w:rPr>
          <w:rStyle w:val="FootnoteReference"/>
          <w:lang w:val="en-GB"/>
        </w:rPr>
        <w:footnoteReference w:id="94"/>
      </w:r>
    </w:p>
    <w:p w:rsidR="002D47F2" w:rsidRDefault="002D47F2" w:rsidP="00E273DA">
      <w:pPr>
        <w:pStyle w:val="NormalIndent"/>
        <w:rPr>
          <w:rFonts w:eastAsiaTheme="minorEastAsia"/>
          <w:lang w:val="en-GB" w:eastAsia="en-US"/>
        </w:rPr>
      </w:pPr>
      <w:r>
        <w:rPr>
          <w:rFonts w:eastAsiaTheme="minorEastAsia"/>
          <w:lang w:val="en-GB" w:eastAsia="en-US"/>
        </w:rPr>
        <w:t>Given that women cannot own hereditary estates, and cannot normally own allotments, it is common for women to live on hereditary estates or allotments owned by their husbands or male family members.</w:t>
      </w:r>
      <w:r>
        <w:rPr>
          <w:rStyle w:val="FootnoteReference"/>
          <w:rFonts w:eastAsiaTheme="minorEastAsia"/>
          <w:lang w:val="en-GB" w:eastAsia="en-US"/>
        </w:rPr>
        <w:footnoteReference w:id="95"/>
      </w:r>
      <w:r>
        <w:rPr>
          <w:rFonts w:eastAsiaTheme="minorEastAsia"/>
          <w:lang w:val="en-GB" w:eastAsia="en-US"/>
        </w:rPr>
        <w:t xml:space="preserve"> In this situation, women do </w:t>
      </w:r>
      <w:r w:rsidRPr="00756CE4">
        <w:rPr>
          <w:rFonts w:eastAsiaTheme="minorEastAsia"/>
          <w:lang w:val="en-GB" w:eastAsia="en-US"/>
        </w:rPr>
        <w:t xml:space="preserve">not </w:t>
      </w:r>
      <w:r>
        <w:rPr>
          <w:rFonts w:eastAsiaTheme="minorEastAsia"/>
          <w:lang w:val="en-GB" w:eastAsia="en-US"/>
        </w:rPr>
        <w:t xml:space="preserve">have a </w:t>
      </w:r>
      <w:r w:rsidRPr="00756CE4">
        <w:rPr>
          <w:rFonts w:eastAsiaTheme="minorEastAsia"/>
          <w:i/>
          <w:lang w:val="en-GB" w:eastAsia="en-US"/>
        </w:rPr>
        <w:t>legal</w:t>
      </w:r>
      <w:r>
        <w:rPr>
          <w:rFonts w:eastAsiaTheme="minorEastAsia"/>
          <w:lang w:val="en-GB" w:eastAsia="en-US"/>
        </w:rPr>
        <w:t xml:space="preserve"> entitlement to occupy the land. Instead, they rely on their husbands' or family members' good will.</w:t>
      </w:r>
      <w:r>
        <w:rPr>
          <w:rStyle w:val="FootnoteReference"/>
          <w:rFonts w:eastAsiaTheme="minorEastAsia"/>
          <w:lang w:val="en-GB" w:eastAsia="en-US"/>
        </w:rPr>
        <w:footnoteReference w:id="96"/>
      </w:r>
    </w:p>
    <w:p w:rsidR="002D47F2" w:rsidRDefault="002D47F2" w:rsidP="00E273DA">
      <w:pPr>
        <w:pStyle w:val="NormalIndent"/>
        <w:rPr>
          <w:rFonts w:eastAsiaTheme="minorEastAsia"/>
          <w:lang w:val="en-GB" w:eastAsia="en-US"/>
        </w:rPr>
      </w:pPr>
      <w:r>
        <w:rPr>
          <w:rFonts w:eastAsiaTheme="minorEastAsia"/>
          <w:lang w:val="en-GB" w:eastAsia="en-US"/>
        </w:rPr>
        <w:t>The conduct of male family members is, however, regulated by social norms and expectations which offer significant protection to women.</w:t>
      </w:r>
      <w:r>
        <w:rPr>
          <w:rStyle w:val="FootnoteReference"/>
          <w:rFonts w:eastAsiaTheme="minorEastAsia"/>
          <w:lang w:val="en-GB" w:eastAsia="en-US"/>
        </w:rPr>
        <w:footnoteReference w:id="97"/>
      </w:r>
      <w:r>
        <w:rPr>
          <w:rFonts w:eastAsiaTheme="minorEastAsia"/>
          <w:lang w:val="en-GB" w:eastAsia="en-US"/>
        </w:rPr>
        <w:t xml:space="preserve"> For example, social norms establish an expectation that, upon marriage, a woman will move onto her husband's allotment. Further, social norms create an expectation that the eldest male child will allow unmarried sisters to live on his allotment.</w:t>
      </w:r>
    </w:p>
    <w:p w:rsidR="002D47F2" w:rsidRPr="00E90B4C" w:rsidRDefault="002D47F2" w:rsidP="00E273DA">
      <w:pPr>
        <w:pStyle w:val="NormalIndent"/>
        <w:rPr>
          <w:rFonts w:eastAsiaTheme="minorEastAsia"/>
          <w:lang w:val="en-GB" w:eastAsia="en-US"/>
        </w:rPr>
      </w:pPr>
      <w:r>
        <w:rPr>
          <w:rFonts w:eastAsiaTheme="minorEastAsia"/>
          <w:lang w:val="en-GB" w:eastAsia="en-US"/>
        </w:rPr>
        <w:t>T</w:t>
      </w:r>
      <w:r w:rsidRPr="00E90B4C">
        <w:rPr>
          <w:rFonts w:eastAsiaTheme="minorEastAsia"/>
          <w:lang w:val="en-GB" w:eastAsia="en-US"/>
        </w:rPr>
        <w:t xml:space="preserve">here are no </w:t>
      </w:r>
      <w:r>
        <w:rPr>
          <w:rFonts w:eastAsiaTheme="minorEastAsia"/>
          <w:lang w:val="en-GB" w:eastAsia="en-US"/>
        </w:rPr>
        <w:t>legal barriers to women obtaining leases or permits for</w:t>
      </w:r>
      <w:r w:rsidRPr="00E90B4C">
        <w:rPr>
          <w:rFonts w:eastAsiaTheme="minorEastAsia"/>
          <w:lang w:val="en-GB" w:eastAsia="en-US"/>
        </w:rPr>
        <w:t xml:space="preserve"> land and/or housing. Further, women may inherit </w:t>
      </w:r>
      <w:r>
        <w:rPr>
          <w:rFonts w:eastAsiaTheme="minorEastAsia"/>
          <w:lang w:val="en-GB" w:eastAsia="en-US"/>
        </w:rPr>
        <w:t>leases,</w:t>
      </w:r>
      <w:r w:rsidRPr="00E90B4C">
        <w:rPr>
          <w:rFonts w:eastAsiaTheme="minorEastAsia"/>
          <w:lang w:val="en-GB" w:eastAsia="en-US"/>
        </w:rPr>
        <w:t xml:space="preserve"> either through the grant of probate or letters of administration.</w:t>
      </w:r>
    </w:p>
    <w:p w:rsidR="002D47F2" w:rsidRDefault="002D47F2" w:rsidP="00E273DA">
      <w:pPr>
        <w:pStyle w:val="AllensHeading3"/>
        <w:rPr>
          <w:rFonts w:eastAsiaTheme="minorHAnsi"/>
          <w:b/>
          <w:lang w:eastAsia="en-US"/>
        </w:rPr>
      </w:pPr>
      <w:r w:rsidRPr="003D241A">
        <w:rPr>
          <w:rFonts w:eastAsiaTheme="minorHAnsi"/>
          <w:b/>
          <w:lang w:eastAsia="en-US"/>
        </w:rPr>
        <w:t>In practice, do they? If not, why not?</w:t>
      </w:r>
    </w:p>
    <w:p w:rsidR="002D47F2" w:rsidRPr="005560FB" w:rsidRDefault="002D47F2" w:rsidP="00E273DA">
      <w:pPr>
        <w:pStyle w:val="NormalIndent"/>
        <w:ind w:left="720"/>
        <w:rPr>
          <w:rFonts w:eastAsiaTheme="minorHAnsi"/>
          <w:lang w:eastAsia="en-US"/>
        </w:rPr>
      </w:pPr>
      <w:r>
        <w:rPr>
          <w:rFonts w:eastAsiaTheme="minorEastAsia"/>
          <w:lang w:val="en-GB" w:eastAsia="en-US"/>
        </w:rPr>
        <w:t>The number of women leasing land and/or housing is increasing, with approximately 20% of leases now held by women.</w:t>
      </w:r>
      <w:r>
        <w:rPr>
          <w:rStyle w:val="FootnoteReference"/>
          <w:rFonts w:eastAsiaTheme="minorEastAsia"/>
          <w:lang w:val="en-GB" w:eastAsia="en-US"/>
        </w:rPr>
        <w:footnoteReference w:id="98"/>
      </w:r>
    </w:p>
    <w:p w:rsidR="002D47F2" w:rsidRDefault="002D47F2" w:rsidP="00E273DA">
      <w:pPr>
        <w:pStyle w:val="AllensHeading2"/>
        <w:rPr>
          <w:rFonts w:eastAsiaTheme="minorHAnsi"/>
          <w:lang w:eastAsia="en-US"/>
        </w:rPr>
      </w:pPr>
      <w:bookmarkStart w:id="81" w:name="_Toc513117799"/>
      <w:r>
        <w:rPr>
          <w:rFonts w:eastAsiaTheme="minorHAnsi"/>
          <w:lang w:eastAsia="en-US"/>
        </w:rPr>
        <w:t>Indigenous groups</w:t>
      </w:r>
      <w:bookmarkEnd w:id="81"/>
    </w:p>
    <w:p w:rsidR="002D47F2" w:rsidRDefault="002D47F2" w:rsidP="00E273DA">
      <w:pPr>
        <w:pStyle w:val="AllensHeading3"/>
        <w:rPr>
          <w:rFonts w:eastAsiaTheme="minorHAnsi"/>
          <w:b/>
          <w:lang w:eastAsia="en-US"/>
        </w:rPr>
      </w:pPr>
      <w:r w:rsidRPr="008F0FA4">
        <w:rPr>
          <w:rFonts w:eastAsiaTheme="minorHAnsi"/>
          <w:b/>
          <w:lang w:eastAsia="en-US"/>
        </w:rPr>
        <w:t>Is indigenous customary ownership (or custodiansh</w:t>
      </w:r>
      <w:r>
        <w:rPr>
          <w:rFonts w:eastAsiaTheme="minorHAnsi"/>
          <w:b/>
          <w:lang w:eastAsia="en-US"/>
        </w:rPr>
        <w:t>ip) of land legally recognised?</w:t>
      </w:r>
    </w:p>
    <w:p w:rsidR="002D47F2" w:rsidRDefault="002D47F2" w:rsidP="00E273DA">
      <w:pPr>
        <w:pStyle w:val="AllensHeading3"/>
        <w:rPr>
          <w:rFonts w:eastAsiaTheme="minorHAnsi"/>
          <w:b/>
          <w:lang w:eastAsia="en-US"/>
        </w:rPr>
      </w:pPr>
      <w:r w:rsidRPr="008F0FA4">
        <w:rPr>
          <w:rFonts w:eastAsiaTheme="minorHAnsi"/>
          <w:b/>
          <w:lang w:eastAsia="en-US"/>
        </w:rPr>
        <w:t>Does customary ownership provide indigenous people with a high degree of security of tenure?</w:t>
      </w:r>
    </w:p>
    <w:p w:rsidR="002D47F2" w:rsidRDefault="002D47F2" w:rsidP="00E273DA">
      <w:pPr>
        <w:pStyle w:val="AllensHeading3"/>
        <w:rPr>
          <w:rFonts w:eastAsiaTheme="minorHAnsi"/>
          <w:b/>
          <w:lang w:eastAsia="en-US"/>
        </w:rPr>
      </w:pPr>
      <w:r w:rsidRPr="008F0FA4">
        <w:rPr>
          <w:rFonts w:eastAsiaTheme="minorHAnsi"/>
          <w:b/>
          <w:lang w:eastAsia="en-US"/>
        </w:rPr>
        <w:t>If not, what are the barriers to indigenous people owni</w:t>
      </w:r>
      <w:r>
        <w:rPr>
          <w:rFonts w:eastAsiaTheme="minorHAnsi"/>
          <w:b/>
          <w:lang w:eastAsia="en-US"/>
        </w:rPr>
        <w:t>ng and/or living on their land?</w:t>
      </w:r>
    </w:p>
    <w:p w:rsidR="002D47F2" w:rsidRDefault="002D47F2" w:rsidP="00E273DA">
      <w:pPr>
        <w:pStyle w:val="AllensHeading3"/>
        <w:rPr>
          <w:rFonts w:eastAsiaTheme="minorHAnsi"/>
          <w:b/>
          <w:lang w:eastAsia="en-US"/>
        </w:rPr>
      </w:pPr>
      <w:r w:rsidRPr="008F0FA4">
        <w:rPr>
          <w:rFonts w:eastAsiaTheme="minorHAnsi"/>
          <w:b/>
          <w:lang w:eastAsia="en-US"/>
        </w:rPr>
        <w:t>Is there conflict between indigenous g</w:t>
      </w:r>
      <w:r>
        <w:rPr>
          <w:rFonts w:eastAsiaTheme="minorHAnsi"/>
          <w:b/>
          <w:lang w:eastAsia="en-US"/>
        </w:rPr>
        <w:t>roups regarding land ownership?</w:t>
      </w:r>
    </w:p>
    <w:p w:rsidR="002D47F2" w:rsidRPr="008F0FA4" w:rsidRDefault="002D47F2" w:rsidP="00E273DA">
      <w:pPr>
        <w:pStyle w:val="AllensHeading3"/>
        <w:rPr>
          <w:rFonts w:eastAsiaTheme="minorHAnsi"/>
          <w:b/>
          <w:lang w:eastAsia="en-US"/>
        </w:rPr>
      </w:pPr>
      <w:r w:rsidRPr="008F0FA4">
        <w:rPr>
          <w:rFonts w:eastAsiaTheme="minorHAnsi"/>
          <w:b/>
          <w:lang w:eastAsia="en-US"/>
        </w:rPr>
        <w:t>If so, to what degree? Are there mechanisms for resolving these conflicts?</w:t>
      </w:r>
    </w:p>
    <w:p w:rsidR="002D47F2" w:rsidRDefault="002D47F2" w:rsidP="00E273DA">
      <w:pPr>
        <w:pStyle w:val="AllensHeading3"/>
        <w:numPr>
          <w:ilvl w:val="0"/>
          <w:numId w:val="0"/>
        </w:numPr>
        <w:ind w:left="709"/>
      </w:pPr>
      <w:r w:rsidRPr="000665F8">
        <w:t xml:space="preserve">The above questions are not relevant to Tonga. </w:t>
      </w:r>
      <w:r>
        <w:t xml:space="preserve">As indicated in section </w:t>
      </w:r>
      <w:r>
        <w:fldChar w:fldCharType="begin"/>
      </w:r>
      <w:r>
        <w:instrText xml:space="preserve"> REF _Ref473990271 \r \h </w:instrText>
      </w:r>
      <w:r>
        <w:fldChar w:fldCharType="separate"/>
      </w:r>
      <w:r w:rsidR="00961367">
        <w:t>2.3</w:t>
      </w:r>
      <w:r>
        <w:fldChar w:fldCharType="end"/>
      </w:r>
      <w:r>
        <w:t xml:space="preserve"> above </w:t>
      </w:r>
      <w:r w:rsidRPr="000665F8">
        <w:t xml:space="preserve">Tonga does </w:t>
      </w:r>
      <w:r w:rsidRPr="00D912C6">
        <w:t xml:space="preserve">not </w:t>
      </w:r>
      <w:r w:rsidRPr="000665F8">
        <w:t xml:space="preserve">have a customary property law system that runs in parallel with statutory land law. The sources of Tongan land law are the </w:t>
      </w:r>
      <w:r w:rsidRPr="000665F8">
        <w:rPr>
          <w:i/>
        </w:rPr>
        <w:t>Constitution</w:t>
      </w:r>
      <w:r w:rsidRPr="000665F8">
        <w:t xml:space="preserve"> and statutory law, predominantly the </w:t>
      </w:r>
      <w:r w:rsidRPr="000665F8">
        <w:rPr>
          <w:i/>
        </w:rPr>
        <w:t>Land Act</w:t>
      </w:r>
      <w:r w:rsidRPr="000665F8">
        <w:t>.</w:t>
      </w:r>
      <w:r>
        <w:t xml:space="preserve"> Land disputes are adjudicated by the Land Court and may be appealed to the Court of Appeal.</w:t>
      </w:r>
      <w:r>
        <w:rPr>
          <w:rStyle w:val="FootnoteReference"/>
        </w:rPr>
        <w:footnoteReference w:id="99"/>
      </w:r>
      <w:r>
        <w:t xml:space="preserve"> Orders or judgments relating to the </w:t>
      </w:r>
      <w:r w:rsidRPr="008527C6">
        <w:t>determination of</w:t>
      </w:r>
      <w:r>
        <w:t xml:space="preserve"> hereditary estates or titles are appealed</w:t>
      </w:r>
      <w:r w:rsidRPr="008527C6">
        <w:t xml:space="preserve"> to the Privy Council</w:t>
      </w:r>
      <w:r>
        <w:t>.</w:t>
      </w:r>
    </w:p>
    <w:p w:rsidR="002D47F2" w:rsidRDefault="002D47F2">
      <w:pPr>
        <w:spacing w:before="0" w:after="200" w:line="276" w:lineRule="auto"/>
      </w:pPr>
      <w:r>
        <w:br w:type="page"/>
      </w:r>
    </w:p>
    <w:p w:rsidR="002D47F2" w:rsidRDefault="002D47F2" w:rsidP="00E273DA">
      <w:pPr>
        <w:pStyle w:val="AllensHeading2"/>
        <w:rPr>
          <w:rFonts w:eastAsiaTheme="minorHAnsi"/>
          <w:lang w:eastAsia="en-US"/>
        </w:rPr>
      </w:pPr>
      <w:bookmarkStart w:id="82" w:name="_Toc513117800"/>
      <w:bookmarkStart w:id="83" w:name="Minority_groups"/>
      <w:r>
        <w:rPr>
          <w:rFonts w:eastAsiaTheme="minorHAnsi"/>
          <w:lang w:eastAsia="en-US"/>
        </w:rPr>
        <w:lastRenderedPageBreak/>
        <w:t>Minority groups</w:t>
      </w:r>
      <w:bookmarkEnd w:id="82"/>
    </w:p>
    <w:bookmarkEnd w:id="83"/>
    <w:p w:rsidR="002D47F2" w:rsidRDefault="002D47F2" w:rsidP="00E273DA">
      <w:pPr>
        <w:pStyle w:val="AllensHeading3"/>
        <w:rPr>
          <w:rFonts w:eastAsiaTheme="minorHAnsi"/>
          <w:b/>
          <w:lang w:eastAsia="en-US"/>
        </w:rPr>
      </w:pPr>
      <w:r w:rsidRPr="003D241A">
        <w:rPr>
          <w:rFonts w:eastAsiaTheme="minorHAnsi"/>
          <w:b/>
          <w:lang w:eastAsia="en-US"/>
        </w:rPr>
        <w:t xml:space="preserve">Can minority groups (ie, ethnic minorities, immigrants, </w:t>
      </w:r>
      <w:proofErr w:type="gramStart"/>
      <w:r w:rsidRPr="003D241A">
        <w:rPr>
          <w:rFonts w:eastAsiaTheme="minorHAnsi"/>
          <w:b/>
          <w:lang w:eastAsia="en-US"/>
        </w:rPr>
        <w:t>stateless</w:t>
      </w:r>
      <w:proofErr w:type="gramEnd"/>
      <w:r w:rsidRPr="003D241A">
        <w:rPr>
          <w:rFonts w:eastAsiaTheme="minorHAnsi"/>
          <w:b/>
          <w:lang w:eastAsia="en-US"/>
        </w:rPr>
        <w:t xml:space="preserve"> people) legally own and/or rent land and housing?</w:t>
      </w:r>
    </w:p>
    <w:p w:rsidR="002D47F2" w:rsidRDefault="002D47F2" w:rsidP="00E273DA">
      <w:pPr>
        <w:pStyle w:val="AllensHeading4"/>
        <w:rPr>
          <w:rFonts w:eastAsiaTheme="minorEastAsia"/>
          <w:b/>
        </w:rPr>
      </w:pPr>
      <w:r>
        <w:rPr>
          <w:rFonts w:eastAsiaTheme="minorEastAsia"/>
          <w:b/>
        </w:rPr>
        <w:t>Hereditary estates</w:t>
      </w:r>
    </w:p>
    <w:p w:rsidR="002D47F2" w:rsidRPr="00651506" w:rsidRDefault="002D47F2" w:rsidP="00E273DA">
      <w:pPr>
        <w:pStyle w:val="AllensHeading4"/>
        <w:numPr>
          <w:ilvl w:val="0"/>
          <w:numId w:val="0"/>
        </w:numPr>
        <w:ind w:left="1418"/>
        <w:rPr>
          <w:rFonts w:eastAsiaTheme="minorEastAsia"/>
        </w:rPr>
      </w:pPr>
      <w:r>
        <w:rPr>
          <w:rFonts w:eastAsiaTheme="minorEastAsia"/>
        </w:rPr>
        <w:t xml:space="preserve">An immigrant, whether a naturalised Tongan or an alien, cannot own a hereditary estate because </w:t>
      </w:r>
      <w:r w:rsidRPr="00651506">
        <w:rPr>
          <w:rFonts w:eastAsiaTheme="minorEastAsia"/>
        </w:rPr>
        <w:t>hereditary estate</w:t>
      </w:r>
      <w:r>
        <w:rPr>
          <w:rFonts w:eastAsiaTheme="minorEastAsia"/>
        </w:rPr>
        <w:t xml:space="preserve">s are held by Tongan </w:t>
      </w:r>
      <w:r w:rsidRPr="00651506">
        <w:rPr>
          <w:rFonts w:eastAsiaTheme="minorEastAsia"/>
        </w:rPr>
        <w:t>Noble</w:t>
      </w:r>
      <w:r>
        <w:rPr>
          <w:rFonts w:eastAsiaTheme="minorEastAsia"/>
        </w:rPr>
        <w:t>s</w:t>
      </w:r>
      <w:r w:rsidRPr="00651506">
        <w:rPr>
          <w:rFonts w:eastAsiaTheme="minorEastAsia"/>
        </w:rPr>
        <w:t xml:space="preserve"> </w:t>
      </w:r>
      <w:r>
        <w:rPr>
          <w:rFonts w:eastAsiaTheme="minorEastAsia"/>
        </w:rPr>
        <w:t>and</w:t>
      </w:r>
      <w:r w:rsidRPr="00651506">
        <w:rPr>
          <w:rFonts w:eastAsiaTheme="minorEastAsia"/>
        </w:rPr>
        <w:t xml:space="preserve"> Chief</w:t>
      </w:r>
      <w:r>
        <w:rPr>
          <w:rFonts w:eastAsiaTheme="minorEastAsia"/>
        </w:rPr>
        <w:t>, and passed onto to their successors ad infinitum.</w:t>
      </w:r>
    </w:p>
    <w:p w:rsidR="002D47F2" w:rsidRDefault="002D47F2" w:rsidP="00E273DA">
      <w:pPr>
        <w:pStyle w:val="AllensHeading4"/>
        <w:rPr>
          <w:rFonts w:eastAsiaTheme="minorEastAsia"/>
          <w:b/>
        </w:rPr>
      </w:pPr>
      <w:r>
        <w:rPr>
          <w:rFonts w:eastAsiaTheme="minorEastAsia"/>
          <w:b/>
        </w:rPr>
        <w:t>Tax allotments</w:t>
      </w:r>
    </w:p>
    <w:p w:rsidR="002D47F2" w:rsidRDefault="002D47F2" w:rsidP="00E273DA">
      <w:pPr>
        <w:ind w:left="1418"/>
        <w:rPr>
          <w:rFonts w:eastAsiaTheme="minorEastAsia" w:cs="Arial"/>
          <w:iCs/>
        </w:rPr>
      </w:pPr>
      <w:r>
        <w:rPr>
          <w:rFonts w:eastAsiaTheme="minorEastAsia" w:cs="Arial"/>
          <w:iCs/>
        </w:rPr>
        <w:t xml:space="preserve">A person is only entitled to apply for an allotment if they are a male Tongan subject by birth. As stated in section </w:t>
      </w:r>
      <w:r>
        <w:rPr>
          <w:rFonts w:eastAsiaTheme="minorEastAsia" w:cs="Arial"/>
          <w:iCs/>
        </w:rPr>
        <w:fldChar w:fldCharType="begin"/>
      </w:r>
      <w:r>
        <w:rPr>
          <w:rFonts w:eastAsiaTheme="minorEastAsia" w:cs="Arial"/>
          <w:iCs/>
        </w:rPr>
        <w:instrText xml:space="preserve"> REF _Ref472869062 \r \h </w:instrText>
      </w:r>
      <w:r>
        <w:rPr>
          <w:rFonts w:eastAsiaTheme="minorEastAsia" w:cs="Arial"/>
          <w:iCs/>
        </w:rPr>
      </w:r>
      <w:r>
        <w:rPr>
          <w:rFonts w:eastAsiaTheme="minorEastAsia" w:cs="Arial"/>
          <w:iCs/>
        </w:rPr>
        <w:fldChar w:fldCharType="separate"/>
      </w:r>
      <w:r w:rsidR="00961367">
        <w:rPr>
          <w:rFonts w:eastAsiaTheme="minorEastAsia" w:cs="Arial"/>
          <w:iCs/>
        </w:rPr>
        <w:t>2.1(b</w:t>
      </w:r>
      <w:proofErr w:type="gramStart"/>
      <w:r w:rsidR="00961367">
        <w:rPr>
          <w:rFonts w:eastAsiaTheme="minorEastAsia" w:cs="Arial"/>
          <w:iCs/>
        </w:rPr>
        <w:t>)(</w:t>
      </w:r>
      <w:proofErr w:type="gramEnd"/>
      <w:r w:rsidR="00961367">
        <w:rPr>
          <w:rFonts w:eastAsiaTheme="minorEastAsia" w:cs="Arial"/>
          <w:iCs/>
        </w:rPr>
        <w:t>iii)</w:t>
      </w:r>
      <w:r>
        <w:rPr>
          <w:rFonts w:eastAsiaTheme="minorEastAsia" w:cs="Arial"/>
          <w:iCs/>
        </w:rPr>
        <w:fldChar w:fldCharType="end"/>
      </w:r>
      <w:r>
        <w:rPr>
          <w:rFonts w:eastAsiaTheme="minorEastAsia" w:cs="Arial"/>
          <w:iCs/>
        </w:rPr>
        <w:t xml:space="preserve"> above, a person is only Tongan by birth if:</w:t>
      </w:r>
    </w:p>
    <w:p w:rsidR="002D47F2" w:rsidRDefault="002D47F2" w:rsidP="00E273DA">
      <w:pPr>
        <w:pStyle w:val="Bullet2"/>
        <w:tabs>
          <w:tab w:val="clear" w:pos="1418"/>
          <w:tab w:val="num" w:pos="2127"/>
        </w:tabs>
        <w:ind w:left="2127"/>
        <w:rPr>
          <w:rFonts w:eastAsiaTheme="minorEastAsia"/>
        </w:rPr>
      </w:pPr>
      <w:r>
        <w:rPr>
          <w:rFonts w:eastAsiaTheme="minorEastAsia"/>
        </w:rPr>
        <w:t>they were born in Tonga to a Tongan parent; or</w:t>
      </w:r>
    </w:p>
    <w:p w:rsidR="002D47F2" w:rsidRPr="00834850" w:rsidRDefault="002D47F2" w:rsidP="00E273DA">
      <w:pPr>
        <w:pStyle w:val="Bullet2"/>
        <w:ind w:left="2127"/>
        <w:rPr>
          <w:rFonts w:eastAsiaTheme="minorEastAsia"/>
        </w:rPr>
      </w:pPr>
      <w:proofErr w:type="gramStart"/>
      <w:r>
        <w:rPr>
          <w:rFonts w:eastAsiaTheme="minorEastAsia"/>
        </w:rPr>
        <w:t>they</w:t>
      </w:r>
      <w:proofErr w:type="gramEnd"/>
      <w:r>
        <w:rPr>
          <w:rFonts w:eastAsiaTheme="minorEastAsia"/>
        </w:rPr>
        <w:t xml:space="preserve"> were born abroad to a Tongan father or mother</w:t>
      </w:r>
      <w:r w:rsidRPr="00834850">
        <w:rPr>
          <w:rFonts w:eastAsiaTheme="minorEastAsia"/>
        </w:rPr>
        <w:t>.</w:t>
      </w:r>
      <w:r>
        <w:rPr>
          <w:rStyle w:val="FootnoteReference"/>
          <w:rFonts w:eastAsiaTheme="minorEastAsia"/>
        </w:rPr>
        <w:footnoteReference w:id="100"/>
      </w:r>
    </w:p>
    <w:p w:rsidR="002D47F2" w:rsidRDefault="002D47F2" w:rsidP="00E273DA">
      <w:pPr>
        <w:ind w:left="1418"/>
        <w:rPr>
          <w:rFonts w:eastAsiaTheme="minorEastAsia" w:cs="Arial"/>
          <w:iCs/>
        </w:rPr>
      </w:pPr>
      <w:r>
        <w:rPr>
          <w:rFonts w:eastAsiaTheme="minorEastAsia" w:cs="Arial"/>
          <w:iCs/>
        </w:rPr>
        <w:t>As a result of the above, no first generation immigrant is eligible to apply for an allotment.</w:t>
      </w:r>
    </w:p>
    <w:p w:rsidR="002D47F2" w:rsidRDefault="002D47F2" w:rsidP="00E273DA">
      <w:pPr>
        <w:ind w:left="1418"/>
        <w:rPr>
          <w:rFonts w:eastAsiaTheme="minorEastAsia" w:cs="Arial"/>
          <w:iCs/>
        </w:rPr>
      </w:pPr>
      <w:r>
        <w:rPr>
          <w:rFonts w:eastAsiaTheme="minorEastAsia" w:cs="Arial"/>
          <w:iCs/>
        </w:rPr>
        <w:t>Theoretically, a second generation immigrant may be eligible to apply for a town and tax allotment if they were born in Tonga, and their mother or father had been naturalised at the time of their birth.</w:t>
      </w:r>
    </w:p>
    <w:p w:rsidR="002D47F2" w:rsidRDefault="002D47F2" w:rsidP="00E273DA">
      <w:pPr>
        <w:pStyle w:val="AllensHeading4"/>
        <w:rPr>
          <w:rFonts w:eastAsiaTheme="minorEastAsia"/>
          <w:b/>
        </w:rPr>
      </w:pPr>
      <w:r>
        <w:rPr>
          <w:rFonts w:eastAsiaTheme="minorEastAsia"/>
          <w:b/>
        </w:rPr>
        <w:t>Leases and permits</w:t>
      </w:r>
    </w:p>
    <w:p w:rsidR="002D47F2" w:rsidRPr="002916BC" w:rsidRDefault="002D47F2" w:rsidP="00E273DA">
      <w:pPr>
        <w:pStyle w:val="AllensHeading4"/>
        <w:numPr>
          <w:ilvl w:val="0"/>
          <w:numId w:val="0"/>
        </w:numPr>
        <w:ind w:left="1418"/>
        <w:rPr>
          <w:rFonts w:eastAsiaTheme="minorEastAsia"/>
        </w:rPr>
      </w:pPr>
      <w:r w:rsidRPr="002916BC">
        <w:rPr>
          <w:rFonts w:eastAsiaTheme="minorEastAsia"/>
          <w:iCs/>
        </w:rPr>
        <w:t>Immigrants</w:t>
      </w:r>
      <w:r>
        <w:rPr>
          <w:rFonts w:eastAsiaTheme="minorEastAsia"/>
          <w:iCs/>
        </w:rPr>
        <w:t>, including both naturalised Tongans and aliens,</w:t>
      </w:r>
      <w:r w:rsidRPr="002916BC">
        <w:rPr>
          <w:rFonts w:eastAsiaTheme="minorEastAsia"/>
          <w:iCs/>
        </w:rPr>
        <w:t xml:space="preserve"> may</w:t>
      </w:r>
      <w:r>
        <w:rPr>
          <w:rFonts w:eastAsiaTheme="minorEastAsia"/>
          <w:iCs/>
        </w:rPr>
        <w:t xml:space="preserve"> lease land and/or housing, or hold a permit for land and/or housing.</w:t>
      </w:r>
    </w:p>
    <w:p w:rsidR="002D47F2" w:rsidRDefault="002D47F2" w:rsidP="00E273DA">
      <w:pPr>
        <w:pStyle w:val="AllensHeading3"/>
        <w:rPr>
          <w:rFonts w:eastAsiaTheme="minorHAnsi"/>
          <w:b/>
          <w:lang w:eastAsia="en-US"/>
        </w:rPr>
      </w:pPr>
      <w:r w:rsidRPr="003D241A">
        <w:rPr>
          <w:rFonts w:eastAsiaTheme="minorHAnsi"/>
          <w:b/>
          <w:lang w:eastAsia="en-US"/>
        </w:rPr>
        <w:t>If so, are they subject to special conditions or restrictions?</w:t>
      </w:r>
    </w:p>
    <w:p w:rsidR="002D47F2" w:rsidRDefault="002D47F2" w:rsidP="00E273DA">
      <w:pPr>
        <w:pStyle w:val="AllensHeading4"/>
        <w:numPr>
          <w:ilvl w:val="0"/>
          <w:numId w:val="0"/>
        </w:numPr>
        <w:ind w:left="720"/>
        <w:rPr>
          <w:rFonts w:eastAsiaTheme="minorEastAsia"/>
        </w:rPr>
      </w:pPr>
      <w:r>
        <w:rPr>
          <w:rFonts w:eastAsiaTheme="minorEastAsia"/>
        </w:rPr>
        <w:t xml:space="preserve">Section 14 of the </w:t>
      </w:r>
      <w:r w:rsidRPr="004D20D3">
        <w:rPr>
          <w:rFonts w:eastAsiaTheme="minorEastAsia"/>
          <w:i/>
        </w:rPr>
        <w:t xml:space="preserve">Land Act </w:t>
      </w:r>
      <w:r>
        <w:rPr>
          <w:rFonts w:eastAsiaTheme="minorEastAsia"/>
        </w:rPr>
        <w:t xml:space="preserve">establishes that an alien may not hold or reside upon land without obtaining a permit from the Minister. In practice, however, these provisions are not applied </w:t>
      </w:r>
      <w:proofErr w:type="gramStart"/>
      <w:r>
        <w:rPr>
          <w:rFonts w:eastAsiaTheme="minorEastAsia"/>
        </w:rPr>
        <w:t>and  foreigners</w:t>
      </w:r>
      <w:proofErr w:type="gramEnd"/>
      <w:r>
        <w:rPr>
          <w:rFonts w:eastAsiaTheme="minorEastAsia"/>
        </w:rPr>
        <w:t xml:space="preserve"> do not require a permit to hold or reside upon Tongan land.</w:t>
      </w:r>
    </w:p>
    <w:p w:rsidR="002D47F2" w:rsidRPr="003D241A" w:rsidRDefault="002D47F2" w:rsidP="00E273DA">
      <w:pPr>
        <w:pStyle w:val="AllensHeading3"/>
        <w:rPr>
          <w:rFonts w:eastAsiaTheme="minorHAnsi"/>
          <w:b/>
          <w:lang w:eastAsia="en-US"/>
        </w:rPr>
      </w:pPr>
      <w:r w:rsidRPr="003D241A">
        <w:rPr>
          <w:rFonts w:eastAsiaTheme="minorHAnsi"/>
          <w:b/>
          <w:lang w:eastAsia="en-US"/>
        </w:rPr>
        <w:t>In practice, do minority groups legally own and/or rent land and housing? If not, why not?</w:t>
      </w:r>
    </w:p>
    <w:p w:rsidR="002D47F2" w:rsidRDefault="002D47F2" w:rsidP="00E273DA">
      <w:pPr>
        <w:ind w:left="720"/>
        <w:rPr>
          <w:rFonts w:eastAsiaTheme="minorEastAsia" w:cs="Arial"/>
          <w:iCs/>
        </w:rPr>
      </w:pPr>
      <w:r>
        <w:t xml:space="preserve">As discussed in section </w:t>
      </w:r>
      <w:r>
        <w:fldChar w:fldCharType="begin"/>
      </w:r>
      <w:r>
        <w:instrText xml:space="preserve"> REF _Ref474342161 \r \h </w:instrText>
      </w:r>
      <w:r>
        <w:fldChar w:fldCharType="separate"/>
      </w:r>
      <w:r w:rsidR="00961367">
        <w:t>1.2</w:t>
      </w:r>
      <w:r>
        <w:fldChar w:fldCharType="end"/>
      </w:r>
      <w:r>
        <w:t xml:space="preserve"> above, t</w:t>
      </w:r>
      <w:r w:rsidRPr="00D10661">
        <w:t xml:space="preserve">he main ethnic minority in Tonga are the Chinese, who </w:t>
      </w:r>
      <w:r>
        <w:t xml:space="preserve">represent approximately </w:t>
      </w:r>
      <w:r w:rsidRPr="00D10661">
        <w:t xml:space="preserve">2 per cent of the </w:t>
      </w:r>
      <w:r>
        <w:t xml:space="preserve">urban </w:t>
      </w:r>
      <w:r w:rsidRPr="00D10661">
        <w:t>popu</w:t>
      </w:r>
      <w:r>
        <w:t>lation</w:t>
      </w:r>
      <w:r w:rsidRPr="00D10661">
        <w:t>.</w:t>
      </w:r>
      <w:r w:rsidRPr="00D10661">
        <w:rPr>
          <w:vertAlign w:val="superscript"/>
        </w:rPr>
        <w:footnoteReference w:id="101"/>
      </w:r>
      <w:r>
        <w:t xml:space="preserve"> </w:t>
      </w:r>
      <w:r>
        <w:rPr>
          <w:rFonts w:eastAsiaTheme="minorEastAsia" w:cs="Arial"/>
          <w:iCs/>
        </w:rPr>
        <w:t>Although a second generation Chinese immigrant may be legally entitled to apply for an allotment, this has not yet been tested.</w:t>
      </w:r>
      <w:r>
        <w:rPr>
          <w:rStyle w:val="FootnoteReference"/>
          <w:rFonts w:eastAsiaTheme="minorEastAsia" w:cs="Arial"/>
          <w:iCs/>
        </w:rPr>
        <w:footnoteReference w:id="102"/>
      </w:r>
      <w:r>
        <w:rPr>
          <w:rFonts w:eastAsiaTheme="minorEastAsia" w:cs="Arial"/>
          <w:iCs/>
        </w:rPr>
        <w:t xml:space="preserve"> Thus, in practice, members of the Chinese minority group do not hold allotments.</w:t>
      </w:r>
    </w:p>
    <w:p w:rsidR="002D47F2" w:rsidRDefault="002D47F2" w:rsidP="00E273DA">
      <w:pPr>
        <w:pStyle w:val="AllensHeading3"/>
        <w:numPr>
          <w:ilvl w:val="0"/>
          <w:numId w:val="0"/>
        </w:numPr>
        <w:ind w:left="720"/>
        <w:rPr>
          <w:rFonts w:eastAsiaTheme="minorHAnsi"/>
          <w:lang w:eastAsia="en-US"/>
        </w:rPr>
      </w:pPr>
      <w:r>
        <w:rPr>
          <w:rFonts w:eastAsiaTheme="minorHAnsi"/>
          <w:lang w:eastAsia="en-US"/>
        </w:rPr>
        <w:t>Members of the Chinese minority do lease land and/or housing. However, compared to the Tongan majority, they are more likely to have tenancy agreements, rather than leases.</w:t>
      </w:r>
      <w:r>
        <w:rPr>
          <w:rStyle w:val="FootnoteReference"/>
          <w:rFonts w:eastAsiaTheme="minorHAnsi"/>
          <w:lang w:eastAsia="en-US"/>
        </w:rPr>
        <w:footnoteReference w:id="103"/>
      </w:r>
    </w:p>
    <w:p w:rsidR="002D47F2" w:rsidRDefault="002D47F2">
      <w:pPr>
        <w:spacing w:before="0" w:after="200" w:line="276" w:lineRule="auto"/>
        <w:rPr>
          <w:rFonts w:eastAsiaTheme="minorHAnsi"/>
          <w:lang w:eastAsia="en-US"/>
        </w:rPr>
      </w:pPr>
      <w:r>
        <w:rPr>
          <w:rFonts w:eastAsiaTheme="minorHAnsi"/>
          <w:lang w:eastAsia="en-US"/>
        </w:rPr>
        <w:br w:type="page"/>
      </w:r>
    </w:p>
    <w:p w:rsidR="002D47F2" w:rsidRDefault="002D47F2" w:rsidP="00E273DA">
      <w:pPr>
        <w:pStyle w:val="AllensHeading2"/>
        <w:rPr>
          <w:rFonts w:eastAsiaTheme="minorHAnsi"/>
          <w:lang w:eastAsia="en-US"/>
        </w:rPr>
      </w:pPr>
      <w:bookmarkStart w:id="84" w:name="_Toc513117801"/>
      <w:bookmarkStart w:id="85" w:name="Landless_people"/>
      <w:r>
        <w:rPr>
          <w:rFonts w:eastAsiaTheme="minorHAnsi"/>
          <w:lang w:eastAsia="en-US"/>
        </w:rPr>
        <w:lastRenderedPageBreak/>
        <w:t>Landless people/squatters</w:t>
      </w:r>
      <w:bookmarkEnd w:id="84"/>
    </w:p>
    <w:bookmarkEnd w:id="85"/>
    <w:p w:rsidR="002D47F2" w:rsidRPr="00F053B8" w:rsidRDefault="002D47F2" w:rsidP="00E273DA">
      <w:pPr>
        <w:pStyle w:val="AllensHeading3"/>
        <w:rPr>
          <w:rFonts w:eastAsiaTheme="minorHAnsi"/>
          <w:b/>
          <w:lang w:eastAsia="en-US"/>
        </w:rPr>
      </w:pPr>
      <w:r>
        <w:rPr>
          <w:rFonts w:eastAsiaTheme="minorHAnsi"/>
          <w:b/>
          <w:lang w:eastAsia="en-US"/>
        </w:rPr>
        <w:t>Do landless people/</w:t>
      </w:r>
      <w:r w:rsidRPr="00F053B8">
        <w:rPr>
          <w:rFonts w:eastAsiaTheme="minorHAnsi"/>
          <w:b/>
          <w:lang w:eastAsia="en-US"/>
        </w:rPr>
        <w:t>squatters have rights to land and/or housing (eg, adverse possession)? If so, are those rights respected?</w:t>
      </w:r>
    </w:p>
    <w:p w:rsidR="002D47F2" w:rsidRDefault="002D47F2" w:rsidP="00E273DA">
      <w:pPr>
        <w:pStyle w:val="NormalIndent"/>
        <w:ind w:left="720"/>
        <w:rPr>
          <w:rFonts w:eastAsiaTheme="minorHAnsi"/>
          <w:lang w:eastAsia="en-US"/>
        </w:rPr>
      </w:pPr>
      <w:r w:rsidRPr="004F4ECA">
        <w:rPr>
          <w:rFonts w:eastAsiaTheme="minorHAnsi"/>
          <w:lang w:eastAsia="en-US"/>
        </w:rPr>
        <w:t>The principle of adverse possession is not recognised in Tongan law.</w:t>
      </w:r>
      <w:r>
        <w:rPr>
          <w:rFonts w:eastAsiaTheme="minorHAnsi"/>
          <w:lang w:eastAsia="en-US"/>
        </w:rPr>
        <w:t xml:space="preserve"> However, it is lawful for a person to occupy land until or unless the legal owner takes steps to evict them.</w:t>
      </w:r>
      <w:r>
        <w:rPr>
          <w:rStyle w:val="FootnoteReference"/>
          <w:rFonts w:eastAsiaTheme="minorHAnsi"/>
          <w:lang w:eastAsia="en-US"/>
        </w:rPr>
        <w:footnoteReference w:id="104"/>
      </w:r>
      <w:r>
        <w:rPr>
          <w:rFonts w:eastAsiaTheme="minorHAnsi"/>
          <w:lang w:eastAsia="en-US"/>
        </w:rPr>
        <w:t xml:space="preserve"> Until this point, the person is </w:t>
      </w:r>
      <w:r w:rsidRPr="001308C6">
        <w:rPr>
          <w:rFonts w:eastAsiaTheme="minorHAnsi"/>
          <w:i/>
          <w:lang w:eastAsia="en-US"/>
        </w:rPr>
        <w:t>not</w:t>
      </w:r>
      <w:r>
        <w:rPr>
          <w:rFonts w:eastAsiaTheme="minorHAnsi"/>
          <w:lang w:eastAsia="en-US"/>
        </w:rPr>
        <w:t xml:space="preserve"> a squatter or trespasser.</w:t>
      </w:r>
      <w:r>
        <w:rPr>
          <w:rStyle w:val="FootnoteReference"/>
          <w:rFonts w:eastAsiaTheme="minorHAnsi"/>
          <w:lang w:eastAsia="en-US"/>
        </w:rPr>
        <w:footnoteReference w:id="105"/>
      </w:r>
    </w:p>
    <w:p w:rsidR="002D47F2" w:rsidRDefault="002D47F2" w:rsidP="00E273DA">
      <w:pPr>
        <w:pStyle w:val="NormalIndent"/>
        <w:ind w:left="720"/>
        <w:rPr>
          <w:rFonts w:eastAsiaTheme="minorHAnsi"/>
          <w:bCs/>
          <w:lang w:eastAsia="en-US"/>
        </w:rPr>
      </w:pPr>
      <w:r>
        <w:rPr>
          <w:rFonts w:eastAsiaTheme="minorHAnsi"/>
          <w:bCs/>
          <w:lang w:eastAsia="en-US"/>
        </w:rPr>
        <w:t xml:space="preserve">An example of the application of this principle is the </w:t>
      </w:r>
      <w:r w:rsidRPr="004952B5">
        <w:rPr>
          <w:rFonts w:eastAsiaTheme="minorHAnsi"/>
          <w:bCs/>
          <w:lang w:eastAsia="en-US"/>
        </w:rPr>
        <w:t>2015 case</w:t>
      </w:r>
      <w:r>
        <w:rPr>
          <w:rFonts w:eastAsiaTheme="minorHAnsi"/>
          <w:bCs/>
          <w:lang w:eastAsia="en-US"/>
        </w:rPr>
        <w:t xml:space="preserve"> of</w:t>
      </w:r>
      <w:r>
        <w:rPr>
          <w:rFonts w:eastAsiaTheme="minorHAnsi"/>
          <w:bCs/>
          <w:i/>
          <w:lang w:eastAsia="en-US"/>
        </w:rPr>
        <w:t xml:space="preserve"> </w:t>
      </w:r>
      <w:r w:rsidRPr="004952B5">
        <w:rPr>
          <w:rFonts w:eastAsiaTheme="minorHAnsi"/>
          <w:bCs/>
          <w:i/>
          <w:lang w:eastAsia="en-US"/>
        </w:rPr>
        <w:t>Manu v '</w:t>
      </w:r>
      <w:proofErr w:type="spellStart"/>
      <w:r w:rsidRPr="004952B5">
        <w:rPr>
          <w:rFonts w:eastAsiaTheme="minorHAnsi"/>
          <w:bCs/>
          <w:i/>
          <w:lang w:eastAsia="en-US"/>
        </w:rPr>
        <w:t>Aholelei</w:t>
      </w:r>
      <w:proofErr w:type="spellEnd"/>
      <w:r>
        <w:rPr>
          <w:rFonts w:eastAsiaTheme="minorHAnsi"/>
          <w:bCs/>
          <w:lang w:eastAsia="en-US"/>
        </w:rPr>
        <w:t>.</w:t>
      </w:r>
      <w:r>
        <w:rPr>
          <w:rStyle w:val="FootnoteReference"/>
          <w:rFonts w:eastAsiaTheme="minorHAnsi"/>
          <w:bCs/>
          <w:lang w:eastAsia="en-US"/>
        </w:rPr>
        <w:footnoteReference w:id="106"/>
      </w:r>
      <w:r>
        <w:rPr>
          <w:rFonts w:eastAsiaTheme="minorHAnsi"/>
          <w:bCs/>
          <w:lang w:eastAsia="en-US"/>
        </w:rPr>
        <w:t xml:space="preserve"> In that case, an allotment holder gave his daughter </w:t>
      </w:r>
      <w:r w:rsidRPr="00290211">
        <w:rPr>
          <w:rFonts w:eastAsiaTheme="minorHAnsi"/>
          <w:bCs/>
          <w:lang w:eastAsia="en-US"/>
        </w:rPr>
        <w:t>(</w:t>
      </w:r>
      <w:r>
        <w:rPr>
          <w:rFonts w:eastAsiaTheme="minorHAnsi"/>
          <w:bCs/>
          <w:lang w:eastAsia="en-US"/>
        </w:rPr>
        <w:t>Fine</w:t>
      </w:r>
      <w:r w:rsidRPr="00290211">
        <w:rPr>
          <w:rFonts w:eastAsiaTheme="minorHAnsi"/>
          <w:bCs/>
          <w:lang w:eastAsia="en-US"/>
        </w:rPr>
        <w:t>)</w:t>
      </w:r>
      <w:r>
        <w:rPr>
          <w:rFonts w:eastAsiaTheme="minorHAnsi"/>
          <w:bCs/>
          <w:lang w:eastAsia="en-US"/>
        </w:rPr>
        <w:t>, her husband and their children permission to live on his allotment. When he died, Fine and her family continued to live on the land. Given there was no heir, the allotment reverted to the Crown.</w:t>
      </w:r>
    </w:p>
    <w:p w:rsidR="002D47F2" w:rsidRDefault="002D47F2" w:rsidP="00E273DA">
      <w:pPr>
        <w:pStyle w:val="NormalIndent"/>
        <w:ind w:left="720"/>
        <w:rPr>
          <w:rFonts w:eastAsiaTheme="minorHAnsi"/>
          <w:bCs/>
          <w:lang w:eastAsia="en-US"/>
        </w:rPr>
      </w:pPr>
      <w:r>
        <w:rPr>
          <w:rFonts w:eastAsiaTheme="minorHAnsi"/>
          <w:bCs/>
          <w:lang w:eastAsia="en-US"/>
        </w:rPr>
        <w:t>The Court held that Fine remained in lawful possession of the land after the death of her father, even though the land had reverted to the Crown.</w:t>
      </w:r>
      <w:r>
        <w:rPr>
          <w:rStyle w:val="FootnoteReference"/>
          <w:rFonts w:eastAsiaTheme="minorHAnsi"/>
          <w:bCs/>
          <w:lang w:eastAsia="en-US"/>
        </w:rPr>
        <w:footnoteReference w:id="107"/>
      </w:r>
      <w:r>
        <w:rPr>
          <w:rFonts w:eastAsiaTheme="minorHAnsi"/>
          <w:bCs/>
          <w:lang w:eastAsia="en-US"/>
        </w:rPr>
        <w:t xml:space="preserve"> The Court explained that Fine's possession of the land would not become unlawful until and unless the Crown asserted its rights of ownership by taking steps to evict her and her family.</w:t>
      </w:r>
      <w:r>
        <w:rPr>
          <w:rStyle w:val="FootnoteReference"/>
          <w:rFonts w:eastAsiaTheme="minorHAnsi"/>
          <w:bCs/>
          <w:lang w:eastAsia="en-US"/>
        </w:rPr>
        <w:footnoteReference w:id="108"/>
      </w:r>
    </w:p>
    <w:p w:rsidR="002D47F2" w:rsidRDefault="002D47F2" w:rsidP="00E273DA">
      <w:pPr>
        <w:pStyle w:val="NormalIndent"/>
        <w:ind w:left="720"/>
        <w:rPr>
          <w:rFonts w:eastAsiaTheme="minorHAnsi"/>
          <w:bCs/>
          <w:lang w:eastAsia="en-US"/>
        </w:rPr>
      </w:pPr>
      <w:r>
        <w:rPr>
          <w:rFonts w:eastAsiaTheme="minorHAnsi"/>
          <w:bCs/>
          <w:lang w:eastAsia="en-US"/>
        </w:rPr>
        <w:t>The Court further held that the Minister's decision to grant a lease over the land was unlawful because he had failed to inspect the land and give consideration to Fine's interests prior to making the grant.</w:t>
      </w:r>
      <w:r>
        <w:rPr>
          <w:rStyle w:val="FootnoteReference"/>
          <w:rFonts w:eastAsiaTheme="minorHAnsi"/>
          <w:bCs/>
          <w:lang w:eastAsia="en-US"/>
        </w:rPr>
        <w:footnoteReference w:id="109"/>
      </w:r>
      <w:r>
        <w:rPr>
          <w:rFonts w:eastAsiaTheme="minorHAnsi"/>
          <w:bCs/>
          <w:lang w:eastAsia="en-US"/>
        </w:rPr>
        <w:t xml:space="preserve"> Thus, it appears that a landholder (or at least the Minister in the case of Crown land) is required to give some consideration to the interests of landless people living on the land.</w:t>
      </w:r>
    </w:p>
    <w:p w:rsidR="002D47F2" w:rsidRDefault="002D47F2" w:rsidP="00E273DA">
      <w:pPr>
        <w:pStyle w:val="AllensHeading2"/>
        <w:rPr>
          <w:rFonts w:eastAsiaTheme="minorHAnsi"/>
          <w:lang w:eastAsia="en-US"/>
        </w:rPr>
      </w:pPr>
      <w:bookmarkStart w:id="86" w:name="_Toc513117802"/>
      <w:r>
        <w:rPr>
          <w:rFonts w:eastAsiaTheme="minorHAnsi"/>
          <w:lang w:eastAsia="en-US"/>
        </w:rPr>
        <w:t>General questions</w:t>
      </w:r>
      <w:bookmarkEnd w:id="86"/>
    </w:p>
    <w:p w:rsidR="002D47F2" w:rsidRPr="008E733D" w:rsidRDefault="002D47F2" w:rsidP="00E273DA">
      <w:pPr>
        <w:pStyle w:val="AllensHeading3"/>
        <w:rPr>
          <w:b/>
        </w:rPr>
      </w:pPr>
      <w:r w:rsidRPr="008E733D">
        <w:rPr>
          <w:b/>
        </w:rPr>
        <w:t>Are there any other persons or groups that face difficulties in accessing or maintaining secure tenure (for example, due to internal displacement)?</w:t>
      </w:r>
    </w:p>
    <w:p w:rsidR="002D47F2" w:rsidRDefault="002D47F2" w:rsidP="00E273DA">
      <w:pPr>
        <w:pStyle w:val="NormalIndent"/>
        <w:ind w:left="720"/>
        <w:rPr>
          <w:rFonts w:cs="Arial"/>
          <w:iCs/>
        </w:rPr>
      </w:pPr>
      <w:r>
        <w:rPr>
          <w:rFonts w:cs="Arial"/>
          <w:iCs/>
        </w:rPr>
        <w:t xml:space="preserve">Aside from women and immigrants, there are no other groups that face legal barriers to property ownership. However, there is a shortage of land in Tonga. </w:t>
      </w:r>
      <w:r w:rsidRPr="00A86472">
        <w:rPr>
          <w:rFonts w:cs="Arial"/>
          <w:iCs/>
        </w:rPr>
        <w:t>Internal and external migratio</w:t>
      </w:r>
      <w:r>
        <w:rPr>
          <w:rFonts w:cs="Arial"/>
          <w:iCs/>
        </w:rPr>
        <w:t>n has caused demand for land to increase dramatically, particularly in urban areas.</w:t>
      </w:r>
      <w:r>
        <w:rPr>
          <w:rStyle w:val="FootnoteReference"/>
          <w:rFonts w:cs="Arial"/>
          <w:iCs/>
        </w:rPr>
        <w:footnoteReference w:id="110"/>
      </w:r>
      <w:r>
        <w:rPr>
          <w:rFonts w:cs="Arial"/>
          <w:iCs/>
        </w:rPr>
        <w:t xml:space="preserve"> To accommodate demand, tax allotments on the urban periphery are increasingly being subdivided into town allotments.</w:t>
      </w:r>
      <w:r>
        <w:rPr>
          <w:rStyle w:val="FootnoteReference"/>
          <w:rFonts w:cs="Arial"/>
          <w:iCs/>
        </w:rPr>
        <w:footnoteReference w:id="111"/>
      </w:r>
    </w:p>
    <w:p w:rsidR="002D47F2" w:rsidRDefault="002D47F2" w:rsidP="00E273DA">
      <w:pPr>
        <w:pStyle w:val="AllensHeading1"/>
        <w:rPr>
          <w:rFonts w:eastAsiaTheme="minorHAnsi"/>
          <w:lang w:eastAsia="en-US"/>
        </w:rPr>
      </w:pPr>
      <w:bookmarkStart w:id="87" w:name="_Toc513117803"/>
      <w:bookmarkStart w:id="88" w:name="Eviction_Expropriation_Relocation"/>
      <w:r>
        <w:rPr>
          <w:rFonts w:eastAsiaTheme="minorHAnsi"/>
          <w:lang w:eastAsia="en-US"/>
        </w:rPr>
        <w:t>Eviction, Expropriation and Relocation</w:t>
      </w:r>
      <w:bookmarkEnd w:id="87"/>
    </w:p>
    <w:p w:rsidR="002D47F2" w:rsidRDefault="002D47F2" w:rsidP="00E273DA">
      <w:pPr>
        <w:pStyle w:val="AllensHeading2"/>
        <w:rPr>
          <w:rFonts w:eastAsiaTheme="minorHAnsi"/>
          <w:lang w:eastAsia="en-US"/>
        </w:rPr>
      </w:pPr>
      <w:bookmarkStart w:id="89" w:name="_Toc513117804"/>
      <w:bookmarkStart w:id="90" w:name="Eviction"/>
      <w:bookmarkEnd w:id="88"/>
      <w:r>
        <w:rPr>
          <w:rFonts w:eastAsiaTheme="minorHAnsi"/>
          <w:lang w:eastAsia="en-US"/>
        </w:rPr>
        <w:t>Eviction</w:t>
      </w:r>
      <w:bookmarkEnd w:id="89"/>
    </w:p>
    <w:bookmarkEnd w:id="90"/>
    <w:p w:rsidR="002D47F2" w:rsidRDefault="002D47F2" w:rsidP="00E273DA">
      <w:pPr>
        <w:pStyle w:val="AllensHeading3"/>
        <w:rPr>
          <w:rFonts w:eastAsiaTheme="minorHAnsi"/>
          <w:b/>
          <w:lang w:eastAsia="en-US"/>
        </w:rPr>
      </w:pPr>
      <w:r w:rsidRPr="002878E4">
        <w:rPr>
          <w:rFonts w:eastAsiaTheme="minorHAnsi"/>
          <w:b/>
          <w:lang w:eastAsia="en-US"/>
        </w:rPr>
        <w:t>Are there laws or regulations prohibiting forced evictions?</w:t>
      </w:r>
    </w:p>
    <w:p w:rsidR="002D47F2" w:rsidRDefault="002D47F2" w:rsidP="00E273DA">
      <w:pPr>
        <w:pStyle w:val="AllensHeading3"/>
        <w:rPr>
          <w:rFonts w:eastAsiaTheme="minorHAnsi"/>
          <w:b/>
          <w:lang w:eastAsia="en-US"/>
        </w:rPr>
      </w:pPr>
      <w:r>
        <w:rPr>
          <w:rFonts w:eastAsiaTheme="minorHAnsi"/>
          <w:b/>
          <w:lang w:eastAsia="en-US"/>
        </w:rPr>
        <w:t>In practice, are those laws adhered to?</w:t>
      </w:r>
    </w:p>
    <w:p w:rsidR="002D47F2" w:rsidRDefault="002D47F2" w:rsidP="00E273DA">
      <w:pPr>
        <w:pStyle w:val="Bullet2"/>
        <w:numPr>
          <w:ilvl w:val="0"/>
          <w:numId w:val="0"/>
        </w:numPr>
        <w:ind w:left="709"/>
      </w:pPr>
      <w:r>
        <w:rPr>
          <w:rFonts w:cs="Arial"/>
          <w:iCs/>
        </w:rPr>
        <w:t xml:space="preserve">There are no laws or regulations that expressly prohibit forced evictions. However, as discussed in section </w:t>
      </w:r>
      <w:r>
        <w:rPr>
          <w:rFonts w:cs="Arial"/>
          <w:iCs/>
        </w:rPr>
        <w:fldChar w:fldCharType="begin"/>
      </w:r>
      <w:r>
        <w:rPr>
          <w:rFonts w:cs="Arial"/>
          <w:iCs/>
        </w:rPr>
        <w:instrText xml:space="preserve"> REF _Ref474072762 \r \h </w:instrText>
      </w:r>
      <w:r>
        <w:rPr>
          <w:rFonts w:cs="Arial"/>
          <w:iCs/>
        </w:rPr>
      </w:r>
      <w:r>
        <w:rPr>
          <w:rFonts w:cs="Arial"/>
          <w:iCs/>
        </w:rPr>
        <w:fldChar w:fldCharType="separate"/>
      </w:r>
      <w:r w:rsidR="00961367">
        <w:rPr>
          <w:rFonts w:cs="Arial"/>
          <w:iCs/>
        </w:rPr>
        <w:t>2.1(c)</w:t>
      </w:r>
      <w:r>
        <w:rPr>
          <w:rFonts w:cs="Arial"/>
          <w:iCs/>
        </w:rPr>
        <w:fldChar w:fldCharType="end"/>
      </w:r>
      <w:r>
        <w:rPr>
          <w:rFonts w:cs="Arial"/>
          <w:iCs/>
        </w:rPr>
        <w:t xml:space="preserve"> above, the </w:t>
      </w:r>
      <w:r w:rsidRPr="00E630AA">
        <w:rPr>
          <w:rFonts w:cs="Arial"/>
          <w:i/>
          <w:iCs/>
        </w:rPr>
        <w:t>Land Act</w:t>
      </w:r>
      <w:r>
        <w:rPr>
          <w:rFonts w:cs="Arial"/>
          <w:iCs/>
        </w:rPr>
        <w:t xml:space="preserve"> and the Forms referred to therein prescribe the </w:t>
      </w:r>
      <w:r>
        <w:rPr>
          <w:rFonts w:cs="Arial"/>
          <w:iCs/>
        </w:rPr>
        <w:lastRenderedPageBreak/>
        <w:t xml:space="preserve">circumstances in which: </w:t>
      </w:r>
      <w:r>
        <w:t xml:space="preserve">an estate or allotment holder may lose their land; or a </w:t>
      </w:r>
      <w:r w:rsidRPr="003E3102">
        <w:t>lessor may</w:t>
      </w:r>
      <w:r>
        <w:t xml:space="preserve"> retake possession of leased</w:t>
      </w:r>
      <w:r w:rsidRPr="003E3102">
        <w:t xml:space="preserve"> </w:t>
      </w:r>
      <w:r>
        <w:t>land</w:t>
      </w:r>
      <w:r w:rsidRPr="003E3102">
        <w:t>.</w:t>
      </w:r>
      <w:r w:rsidRPr="003E3102">
        <w:rPr>
          <w:vertAlign w:val="superscript"/>
        </w:rPr>
        <w:footnoteReference w:id="112"/>
      </w:r>
      <w:r>
        <w:t xml:space="preserve"> By implication, it would be unlawful for the Crown or a lessor to dispossess a landholder of their interest in a manner inconsistent with these provisions.</w:t>
      </w:r>
    </w:p>
    <w:p w:rsidR="002D47F2" w:rsidRDefault="002D47F2" w:rsidP="00E273DA">
      <w:pPr>
        <w:pStyle w:val="Bullet2"/>
        <w:numPr>
          <w:ilvl w:val="0"/>
          <w:numId w:val="0"/>
        </w:numPr>
        <w:ind w:left="709"/>
      </w:pPr>
      <w:r>
        <w:t>In addition to the foregoing, case law indicates that:</w:t>
      </w:r>
    </w:p>
    <w:p w:rsidR="002D47F2" w:rsidRDefault="002D47F2" w:rsidP="00E273DA">
      <w:pPr>
        <w:pStyle w:val="Bullet2"/>
      </w:pPr>
      <w:r>
        <w:t xml:space="preserve">section 170 of the </w:t>
      </w:r>
      <w:r w:rsidRPr="00E565CA">
        <w:rPr>
          <w:i/>
        </w:rPr>
        <w:t>Land Act</w:t>
      </w:r>
      <w:r>
        <w:t xml:space="preserve"> may protect squatters against forced eviction; and</w:t>
      </w:r>
    </w:p>
    <w:p w:rsidR="002D47F2" w:rsidRDefault="002D47F2" w:rsidP="00E273DA">
      <w:pPr>
        <w:pStyle w:val="Bullet2"/>
      </w:pPr>
      <w:proofErr w:type="gramStart"/>
      <w:r>
        <w:t>the</w:t>
      </w:r>
      <w:proofErr w:type="gramEnd"/>
      <w:r>
        <w:t xml:space="preserve"> doctrine of estoppel may protect licensees against forced eviction.</w:t>
      </w:r>
    </w:p>
    <w:p w:rsidR="002D47F2" w:rsidRPr="000B4D4A" w:rsidRDefault="002D47F2" w:rsidP="00E273DA">
      <w:pPr>
        <w:pStyle w:val="Bullet2"/>
        <w:numPr>
          <w:ilvl w:val="0"/>
          <w:numId w:val="0"/>
        </w:numPr>
        <w:ind w:left="709"/>
      </w:pPr>
      <w:r>
        <w:t xml:space="preserve">Section 170 of the </w:t>
      </w:r>
      <w:r w:rsidRPr="00E565CA">
        <w:rPr>
          <w:i/>
        </w:rPr>
        <w:t>Land Act</w:t>
      </w:r>
      <w:r>
        <w:t xml:space="preserve"> establishes a 10 year limitation period for claims before the Land Court. This limitation period operates to preclude a landowner from evicting persons who have unlawfully resided on or used their land for a period of 10 years or more.</w:t>
      </w:r>
      <w:r>
        <w:rPr>
          <w:rStyle w:val="FootnoteReference"/>
          <w:rFonts w:cs="Arial"/>
          <w:iCs/>
        </w:rPr>
        <w:footnoteReference w:id="113"/>
      </w:r>
      <w:r>
        <w:t xml:space="preserve"> </w:t>
      </w:r>
      <w:proofErr w:type="gramStart"/>
      <w:r>
        <w:t>Although, such persons do not have any interest in, or title to, the land.</w:t>
      </w:r>
      <w:proofErr w:type="gramEnd"/>
      <w:r>
        <w:rPr>
          <w:rStyle w:val="FootnoteReference"/>
        </w:rPr>
        <w:footnoteReference w:id="114"/>
      </w:r>
    </w:p>
    <w:p w:rsidR="002D47F2" w:rsidRDefault="002D47F2" w:rsidP="00E273DA">
      <w:pPr>
        <w:pStyle w:val="Bullet3"/>
        <w:numPr>
          <w:ilvl w:val="0"/>
          <w:numId w:val="0"/>
        </w:numPr>
        <w:ind w:left="720"/>
      </w:pPr>
      <w:r>
        <w:t>Separately, the Land Court has held that a landholder is estopped (ie, precluded) from evicting a person in circumstances where:</w:t>
      </w:r>
    </w:p>
    <w:p w:rsidR="002D47F2" w:rsidRPr="00925760" w:rsidRDefault="002D47F2" w:rsidP="00E273DA">
      <w:pPr>
        <w:pStyle w:val="Bullet2"/>
        <w:rPr>
          <w:rFonts w:cs="Arial"/>
          <w:iCs/>
        </w:rPr>
      </w:pPr>
      <w:r>
        <w:t>they have granted someone (normally a family member) permission to occupy their land; and</w:t>
      </w:r>
    </w:p>
    <w:p w:rsidR="002D47F2" w:rsidRPr="00E46C60" w:rsidRDefault="002D47F2" w:rsidP="00E273DA">
      <w:pPr>
        <w:pStyle w:val="Bullet2"/>
        <w:rPr>
          <w:rFonts w:cs="Arial"/>
          <w:iCs/>
        </w:rPr>
      </w:pPr>
      <w:proofErr w:type="gramStart"/>
      <w:r>
        <w:t>they</w:t>
      </w:r>
      <w:proofErr w:type="gramEnd"/>
      <w:r>
        <w:t xml:space="preserve"> have promised, or otherwise induced that person to believe, that they would not revoke the permission.</w:t>
      </w:r>
      <w:r>
        <w:rPr>
          <w:rStyle w:val="FootnoteReference"/>
        </w:rPr>
        <w:footnoteReference w:id="115"/>
      </w:r>
    </w:p>
    <w:p w:rsidR="002D47F2" w:rsidRDefault="002D47F2" w:rsidP="00E273DA">
      <w:pPr>
        <w:pStyle w:val="AllensHeading2"/>
        <w:rPr>
          <w:rFonts w:eastAsiaTheme="minorHAnsi"/>
          <w:lang w:eastAsia="en-US"/>
        </w:rPr>
      </w:pPr>
      <w:bookmarkStart w:id="91" w:name="_Toc513117805"/>
      <w:bookmarkStart w:id="92" w:name="Expropriation"/>
      <w:r>
        <w:rPr>
          <w:rFonts w:eastAsiaTheme="minorHAnsi"/>
          <w:lang w:eastAsia="en-US"/>
        </w:rPr>
        <w:t>Expropriation</w:t>
      </w:r>
      <w:bookmarkEnd w:id="91"/>
    </w:p>
    <w:bookmarkEnd w:id="92"/>
    <w:p w:rsidR="002D47F2" w:rsidRPr="005E06ED" w:rsidRDefault="002D47F2" w:rsidP="00E273DA">
      <w:pPr>
        <w:pStyle w:val="AllensHeading3"/>
        <w:rPr>
          <w:rFonts w:eastAsiaTheme="minorHAnsi"/>
          <w:b/>
          <w:lang w:eastAsia="en-US"/>
        </w:rPr>
      </w:pPr>
      <w:r w:rsidRPr="002878E4">
        <w:rPr>
          <w:b/>
        </w:rPr>
        <w:t>Are there laws or regulations permitting the government to expropriate land?</w:t>
      </w:r>
    </w:p>
    <w:p w:rsidR="002D47F2" w:rsidRPr="00EC34B0" w:rsidRDefault="002D47F2" w:rsidP="00E273DA">
      <w:pPr>
        <w:pStyle w:val="AllensHeading3"/>
        <w:numPr>
          <w:ilvl w:val="0"/>
          <w:numId w:val="0"/>
        </w:numPr>
        <w:ind w:left="720"/>
      </w:pPr>
      <w:r w:rsidRPr="00EC34B0">
        <w:t>Section 141</w:t>
      </w:r>
      <w:r>
        <w:t>(1)</w:t>
      </w:r>
      <w:r w:rsidRPr="00EC34B0">
        <w:t xml:space="preserve"> of the </w:t>
      </w:r>
      <w:r w:rsidRPr="00C10E58">
        <w:rPr>
          <w:i/>
        </w:rPr>
        <w:t>Land Act</w:t>
      </w:r>
      <w:r>
        <w:t xml:space="preserve"> entitles the Crown to compulsorily acquire land, provided that the Privy Council is satisfied the land is required for a public purpose, and has consented to the resumption.</w:t>
      </w:r>
      <w:r>
        <w:rPr>
          <w:rStyle w:val="FootnoteReference"/>
        </w:rPr>
        <w:footnoteReference w:id="116"/>
      </w:r>
      <w:r>
        <w:t xml:space="preserve"> </w:t>
      </w:r>
      <w:r>
        <w:rPr>
          <w:rFonts w:cs="Arial"/>
          <w:iCs/>
        </w:rPr>
        <w:t>The term 'p</w:t>
      </w:r>
      <w:r w:rsidRPr="00A86472">
        <w:rPr>
          <w:rFonts w:cs="Arial"/>
          <w:iCs/>
        </w:rPr>
        <w:t>ublic purpose</w:t>
      </w:r>
      <w:r>
        <w:rPr>
          <w:rFonts w:cs="Arial"/>
          <w:iCs/>
        </w:rPr>
        <w:t>'</w:t>
      </w:r>
      <w:r w:rsidRPr="00A86472">
        <w:rPr>
          <w:rFonts w:cs="Arial"/>
          <w:iCs/>
        </w:rPr>
        <w:t xml:space="preserve"> is defined </w:t>
      </w:r>
      <w:r>
        <w:rPr>
          <w:rFonts w:cs="Arial"/>
          <w:iCs/>
        </w:rPr>
        <w:t xml:space="preserve">to mean </w:t>
      </w:r>
      <w:r w:rsidRPr="00A86472">
        <w:rPr>
          <w:rFonts w:cs="Arial"/>
          <w:iCs/>
        </w:rPr>
        <w:t>roads, public ways, commons, cemeteries, school sites, playgrounds, for use by Government Departments or for other public purposes.</w:t>
      </w:r>
      <w:r>
        <w:rPr>
          <w:rStyle w:val="FootnoteReference"/>
          <w:rFonts w:cs="Arial"/>
          <w:iCs/>
        </w:rPr>
        <w:footnoteReference w:id="117"/>
      </w:r>
      <w:r>
        <w:rPr>
          <w:rFonts w:cs="Arial"/>
          <w:iCs/>
        </w:rPr>
        <w:t xml:space="preserve"> </w:t>
      </w:r>
      <w:r>
        <w:t>If the Crown wishes to resume land, it must give the landholder 30 days' notice in writing.</w:t>
      </w:r>
      <w:r>
        <w:rPr>
          <w:rStyle w:val="FootnoteReference"/>
        </w:rPr>
        <w:footnoteReference w:id="118"/>
      </w:r>
      <w:r>
        <w:t xml:space="preserve"> The notice must be in the form in Schedule XIII to the Land Act.</w:t>
      </w:r>
    </w:p>
    <w:p w:rsidR="002D47F2" w:rsidRDefault="002D47F2" w:rsidP="00E273DA">
      <w:pPr>
        <w:pStyle w:val="AllensHeading3"/>
        <w:rPr>
          <w:rFonts w:eastAsiaTheme="minorHAnsi"/>
          <w:b/>
          <w:iCs/>
          <w:lang w:val="en-GB" w:eastAsia="en-US"/>
        </w:rPr>
      </w:pPr>
      <w:r w:rsidRPr="002878E4">
        <w:rPr>
          <w:rFonts w:eastAsiaTheme="minorHAnsi"/>
          <w:b/>
          <w:iCs/>
          <w:lang w:val="en-GB" w:eastAsia="en-US"/>
        </w:rPr>
        <w:t xml:space="preserve">If so, are those laws or regulations applicable </w:t>
      </w:r>
      <w:r>
        <w:rPr>
          <w:rFonts w:eastAsiaTheme="minorHAnsi"/>
          <w:b/>
          <w:iCs/>
          <w:lang w:val="en-GB" w:eastAsia="en-US"/>
        </w:rPr>
        <w:t>in the context of a disaster?</w:t>
      </w:r>
    </w:p>
    <w:p w:rsidR="002D47F2" w:rsidRDefault="002D47F2" w:rsidP="00E273DA">
      <w:pPr>
        <w:pStyle w:val="NormalIndent"/>
        <w:ind w:left="720"/>
        <w:rPr>
          <w:rFonts w:eastAsiaTheme="minorHAnsi"/>
          <w:lang w:val="en-GB" w:eastAsia="en-US"/>
        </w:rPr>
      </w:pPr>
      <w:r>
        <w:rPr>
          <w:rFonts w:eastAsiaTheme="minorHAnsi"/>
          <w:lang w:val="en-GB" w:eastAsia="en-US"/>
        </w:rPr>
        <w:t>The laws governing compulsory resumption of land are impracticable in the context of a natural disaster because they establish a lengthy process. As stated above, the Crown must provide a landholder 30 days' notice of resumption. Further, upon receiving a notice, a landholder has a right of appeal, which may be a lengthy process.</w:t>
      </w:r>
      <w:r>
        <w:rPr>
          <w:rStyle w:val="FootnoteReference"/>
          <w:rFonts w:eastAsiaTheme="minorHAnsi"/>
          <w:lang w:val="en-GB" w:eastAsia="en-US"/>
        </w:rPr>
        <w:footnoteReference w:id="119"/>
      </w:r>
    </w:p>
    <w:p w:rsidR="002D47F2" w:rsidRDefault="002D47F2">
      <w:pPr>
        <w:spacing w:before="0" w:after="200" w:line="276" w:lineRule="auto"/>
        <w:rPr>
          <w:rFonts w:eastAsiaTheme="minorHAnsi"/>
          <w:lang w:val="en-GB" w:eastAsia="en-US"/>
        </w:rPr>
      </w:pPr>
      <w:r>
        <w:rPr>
          <w:rFonts w:eastAsiaTheme="minorHAnsi"/>
          <w:lang w:val="en-GB" w:eastAsia="en-US"/>
        </w:rPr>
        <w:br w:type="page"/>
      </w:r>
    </w:p>
    <w:p w:rsidR="002D47F2" w:rsidRDefault="002D47F2" w:rsidP="00E273DA">
      <w:pPr>
        <w:pStyle w:val="AllensHeading2"/>
        <w:rPr>
          <w:rFonts w:eastAsiaTheme="minorHAnsi"/>
          <w:lang w:eastAsia="en-US"/>
        </w:rPr>
      </w:pPr>
      <w:bookmarkStart w:id="93" w:name="_Toc513117806"/>
      <w:bookmarkStart w:id="94" w:name="Relocation"/>
      <w:r>
        <w:rPr>
          <w:rFonts w:eastAsiaTheme="minorHAnsi"/>
          <w:lang w:eastAsia="en-US"/>
        </w:rPr>
        <w:lastRenderedPageBreak/>
        <w:t>Relocation</w:t>
      </w:r>
      <w:bookmarkEnd w:id="93"/>
    </w:p>
    <w:bookmarkEnd w:id="94"/>
    <w:p w:rsidR="002D47F2" w:rsidRDefault="002D47F2" w:rsidP="00E273DA">
      <w:pPr>
        <w:pStyle w:val="AllensHeading3"/>
        <w:rPr>
          <w:b/>
        </w:rPr>
      </w:pPr>
      <w:r w:rsidRPr="002878E4">
        <w:rPr>
          <w:b/>
        </w:rPr>
        <w:t>Are there laws or regulations governing relocations?</w:t>
      </w:r>
    </w:p>
    <w:p w:rsidR="002D47F2" w:rsidRDefault="002D47F2" w:rsidP="00E273DA">
      <w:pPr>
        <w:pStyle w:val="NormalIndent"/>
        <w:ind w:left="720"/>
      </w:pPr>
      <w:r>
        <w:t>There are no laws or regulations governing relocations. The principles governing relocations are developed on a case-by-case basis in conjunction with donor/funding agencies.</w:t>
      </w:r>
    </w:p>
    <w:p w:rsidR="002D47F2" w:rsidRDefault="002D47F2" w:rsidP="00E273DA">
      <w:pPr>
        <w:pStyle w:val="NormalIndent"/>
        <w:ind w:left="720"/>
      </w:pPr>
      <w:r>
        <w:t xml:space="preserve">For example, in response to Tropical Cyclone Ian in January 2014, the Tongan Government </w:t>
      </w:r>
      <w:proofErr w:type="gramStart"/>
      <w:r>
        <w:t>developed a '</w:t>
      </w:r>
      <w:r w:rsidRPr="0049316B">
        <w:t>Resettlement Policy Framework</w:t>
      </w:r>
      <w:r>
        <w:t>'</w:t>
      </w:r>
      <w:r w:rsidRPr="0049316B">
        <w:t xml:space="preserve"> (</w:t>
      </w:r>
      <w:r w:rsidRPr="0049316B">
        <w:rPr>
          <w:b/>
          <w:i/>
        </w:rPr>
        <w:t>RPF</w:t>
      </w:r>
      <w:r>
        <w:t>) in accordance with the World Bank's principles</w:t>
      </w:r>
      <w:proofErr w:type="gramEnd"/>
      <w:r>
        <w:t xml:space="preserve"> on involuntary settlement.</w:t>
      </w:r>
      <w:r>
        <w:rPr>
          <w:rStyle w:val="FootnoteReference"/>
        </w:rPr>
        <w:footnoteReference w:id="120"/>
      </w:r>
    </w:p>
    <w:p w:rsidR="002D47F2" w:rsidRDefault="002D47F2" w:rsidP="00E273DA">
      <w:pPr>
        <w:pStyle w:val="NormalIndent"/>
        <w:ind w:left="720"/>
      </w:pPr>
      <w:r>
        <w:t>The RPF contained numerous 'Key Principles' including that:</w:t>
      </w:r>
    </w:p>
    <w:p w:rsidR="002D47F2" w:rsidRDefault="002D47F2" w:rsidP="00E273DA">
      <w:pPr>
        <w:pStyle w:val="Bullet2"/>
      </w:pPr>
      <w:r>
        <w:t>i</w:t>
      </w:r>
      <w:r w:rsidRPr="005B7C60">
        <w:t xml:space="preserve">nvoluntary </w:t>
      </w:r>
      <w:r>
        <w:t>r</w:t>
      </w:r>
      <w:r w:rsidRPr="005B7C60">
        <w:t>esettlement should be avoided where feasible, or minimi</w:t>
      </w:r>
      <w:r>
        <w:t>s</w:t>
      </w:r>
      <w:r w:rsidRPr="005B7C60">
        <w:t>ed</w:t>
      </w:r>
      <w:r>
        <w:t>;</w:t>
      </w:r>
    </w:p>
    <w:p w:rsidR="002D47F2" w:rsidRDefault="002D47F2" w:rsidP="00E273DA">
      <w:pPr>
        <w:pStyle w:val="Bullet2"/>
      </w:pPr>
      <w:r>
        <w:t>displaced persons are provided prompt and effective compensation for loss; and</w:t>
      </w:r>
    </w:p>
    <w:p w:rsidR="002D47F2" w:rsidRDefault="002D47F2" w:rsidP="00E273DA">
      <w:pPr>
        <w:pStyle w:val="Bullet2"/>
      </w:pPr>
      <w:proofErr w:type="gramStart"/>
      <w:r>
        <w:t>t</w:t>
      </w:r>
      <w:r w:rsidRPr="00392DC5">
        <w:t>he</w:t>
      </w:r>
      <w:proofErr w:type="gramEnd"/>
      <w:r w:rsidRPr="00392DC5">
        <w:t xml:space="preserve"> previous level of community services and access to resources should be</w:t>
      </w:r>
      <w:r>
        <w:t xml:space="preserve"> </w:t>
      </w:r>
      <w:r w:rsidRPr="00392DC5">
        <w:t>maintained or improved</w:t>
      </w:r>
      <w:r>
        <w:t>.</w:t>
      </w:r>
    </w:p>
    <w:p w:rsidR="002D47F2" w:rsidRDefault="002D47F2" w:rsidP="00E273DA">
      <w:pPr>
        <w:pStyle w:val="AllensHeading3"/>
        <w:rPr>
          <w:b/>
        </w:rPr>
      </w:pPr>
      <w:r w:rsidRPr="002878E4">
        <w:rPr>
          <w:b/>
        </w:rPr>
        <w:t>Are there any other laws or regulations (ie, human rights instruments) that are applicable to relocations?</w:t>
      </w:r>
    </w:p>
    <w:p w:rsidR="002D47F2" w:rsidRDefault="002D47F2" w:rsidP="00E273DA">
      <w:pPr>
        <w:pStyle w:val="NormalIndent"/>
        <w:ind w:left="720"/>
      </w:pPr>
      <w:r>
        <w:t>T</w:t>
      </w:r>
      <w:r w:rsidRPr="00A86472">
        <w:t>here are no laws and regulations applicable to relocations</w:t>
      </w:r>
      <w:r>
        <w:t>.</w:t>
      </w:r>
    </w:p>
    <w:p w:rsidR="002D47F2" w:rsidRDefault="002D47F2" w:rsidP="00E273DA">
      <w:pPr>
        <w:pStyle w:val="AllensHeading2"/>
        <w:rPr>
          <w:rFonts w:eastAsiaTheme="minorHAnsi"/>
          <w:lang w:eastAsia="en-US"/>
        </w:rPr>
      </w:pPr>
      <w:bookmarkStart w:id="95" w:name="_Toc513117807"/>
      <w:r>
        <w:rPr>
          <w:rFonts w:eastAsiaTheme="minorHAnsi"/>
          <w:lang w:eastAsia="en-US"/>
        </w:rPr>
        <w:t>Compensation</w:t>
      </w:r>
      <w:bookmarkEnd w:id="95"/>
    </w:p>
    <w:p w:rsidR="002D47F2" w:rsidRDefault="002D47F2" w:rsidP="00E273DA">
      <w:pPr>
        <w:pStyle w:val="AllensHeading3"/>
        <w:rPr>
          <w:b/>
        </w:rPr>
      </w:pPr>
      <w:r w:rsidRPr="002878E4">
        <w:rPr>
          <w:b/>
        </w:rPr>
        <w:t>Are there laws or regulations providing compensation for people who are relocated, forcibly evicted, or whose land is expropriated?</w:t>
      </w:r>
    </w:p>
    <w:p w:rsidR="002D47F2" w:rsidRPr="007B5A9E" w:rsidRDefault="002D47F2" w:rsidP="00E273DA">
      <w:pPr>
        <w:ind w:left="720"/>
      </w:pPr>
      <w:r>
        <w:rPr>
          <w:rFonts w:cs="Arial"/>
          <w:iCs/>
        </w:rPr>
        <w:t xml:space="preserve">In the event of compulsory resumption of land, section 141(2) of the </w:t>
      </w:r>
      <w:r w:rsidRPr="00C10E58">
        <w:rPr>
          <w:rFonts w:cs="Arial"/>
          <w:i/>
          <w:iCs/>
        </w:rPr>
        <w:t>Land Act</w:t>
      </w:r>
      <w:r>
        <w:rPr>
          <w:rFonts w:cs="Arial"/>
          <w:iCs/>
        </w:rPr>
        <w:t xml:space="preserve"> requires the Minister of Lands to either grant the landholder other land, or compensation for the land resumed. Further, the Minister is required to pay the landholder compensation for crops and/or buildings on the land. </w:t>
      </w:r>
      <w:r>
        <w:t>There are, however, no laws or regulations providing compensation for people who are forcibly evicted from their land.</w:t>
      </w:r>
    </w:p>
    <w:p w:rsidR="002D47F2" w:rsidRPr="002878E4" w:rsidRDefault="002D47F2" w:rsidP="00E273DA">
      <w:pPr>
        <w:pStyle w:val="AllensHeading3"/>
        <w:rPr>
          <w:b/>
        </w:rPr>
      </w:pPr>
      <w:r w:rsidRPr="002878E4">
        <w:rPr>
          <w:rFonts w:cs="Arial"/>
          <w:b/>
          <w:iCs/>
        </w:rPr>
        <w:t>In practice, are these laws or regulations adhered to?</w:t>
      </w:r>
    </w:p>
    <w:p w:rsidR="002D47F2" w:rsidRDefault="002D47F2" w:rsidP="00E273DA">
      <w:pPr>
        <w:pStyle w:val="NormalIndent"/>
        <w:ind w:left="720"/>
      </w:pPr>
      <w:r>
        <w:t>In practice, the laws governing compensation for compulsory resumption of land are adhered to.</w:t>
      </w:r>
    </w:p>
    <w:p w:rsidR="002D47F2" w:rsidRPr="00C53E79" w:rsidRDefault="002D47F2" w:rsidP="00E273DA">
      <w:pPr>
        <w:pStyle w:val="AllensHeading2"/>
        <w:rPr>
          <w:rFonts w:eastAsiaTheme="minorHAnsi"/>
          <w:lang w:val="en-US" w:eastAsia="en-US"/>
        </w:rPr>
      </w:pPr>
      <w:bookmarkStart w:id="96" w:name="_Toc483331395"/>
      <w:bookmarkStart w:id="97" w:name="_Toc513117808"/>
      <w:bookmarkStart w:id="98" w:name="Shelter_cluster"/>
      <w:r w:rsidRPr="00C53E79">
        <w:rPr>
          <w:rFonts w:eastAsiaTheme="minorHAnsi"/>
          <w:lang w:val="en-US" w:eastAsia="en-US"/>
        </w:rPr>
        <w:t>Shelter cluster</w:t>
      </w:r>
      <w:bookmarkEnd w:id="96"/>
      <w:bookmarkEnd w:id="97"/>
    </w:p>
    <w:bookmarkEnd w:id="98"/>
    <w:p w:rsidR="002D47F2" w:rsidRPr="00C53E79" w:rsidRDefault="002D47F2" w:rsidP="00E273DA">
      <w:pPr>
        <w:pStyle w:val="AllensHeading3"/>
        <w:rPr>
          <w:b/>
        </w:rPr>
      </w:pPr>
      <w:r w:rsidRPr="00C53E79">
        <w:rPr>
          <w:b/>
        </w:rPr>
        <w:t xml:space="preserve">Is there an active shelter cluster in </w:t>
      </w:r>
      <w:r>
        <w:rPr>
          <w:b/>
        </w:rPr>
        <w:t>Tonga</w:t>
      </w:r>
      <w:r w:rsidRPr="00C53E79">
        <w:rPr>
          <w:b/>
        </w:rPr>
        <w:t>?</w:t>
      </w:r>
    </w:p>
    <w:p w:rsidR="002D47F2" w:rsidRPr="00C53E79" w:rsidRDefault="002D47F2" w:rsidP="00E273DA">
      <w:pPr>
        <w:pStyle w:val="AllensHeading3"/>
        <w:rPr>
          <w:b/>
        </w:rPr>
      </w:pPr>
      <w:r w:rsidRPr="00C53E79">
        <w:rPr>
          <w:b/>
        </w:rPr>
        <w:t>If not, has the shelter cluster been activated during any previous disasters?</w:t>
      </w:r>
    </w:p>
    <w:p w:rsidR="002D47F2" w:rsidRDefault="002D47F2" w:rsidP="00E273DA">
      <w:pPr>
        <w:pStyle w:val="NormalIndent"/>
        <w:rPr>
          <w:rFonts w:eastAsiaTheme="minorHAnsi"/>
          <w:lang w:val="en-US" w:eastAsia="en-US"/>
        </w:rPr>
      </w:pPr>
      <w:r>
        <w:rPr>
          <w:rFonts w:eastAsiaTheme="minorHAnsi"/>
          <w:lang w:val="en-US" w:eastAsia="en-US"/>
        </w:rPr>
        <w:t>It appears that there is an active shelter cluster in Tonga, although there is limited information available about this cluster. The names and contact details of the members of Coordination Team are listed below.</w:t>
      </w:r>
      <w:r>
        <w:rPr>
          <w:rStyle w:val="FootnoteReference"/>
          <w:rFonts w:eastAsiaTheme="minorHAnsi"/>
          <w:lang w:val="en-US" w:eastAsia="en-US"/>
        </w:rPr>
        <w:footnoteReference w:id="121"/>
      </w:r>
    </w:p>
    <w:p w:rsidR="002D47F2" w:rsidRDefault="002D47F2" w:rsidP="00E273DA">
      <w:pPr>
        <w:ind w:left="1440"/>
        <w:rPr>
          <w:rFonts w:cs="Arial"/>
          <w:color w:val="000000"/>
        </w:rPr>
      </w:pPr>
      <w:r>
        <w:rPr>
          <w:rFonts w:cs="Arial"/>
          <w:b/>
          <w:bCs/>
          <w:color w:val="000000"/>
        </w:rPr>
        <w:t>Kelela Tonga / Fotu Veikune</w:t>
      </w:r>
      <w:r>
        <w:rPr>
          <w:rFonts w:cs="Arial"/>
          <w:color w:val="000000"/>
        </w:rPr>
        <w:br/>
        <w:t>Reconstruction Cluster, Ministry of Infrastructure (MOI</w:t>
      </w:r>
      <w:proofErr w:type="gramStart"/>
      <w:r>
        <w:rPr>
          <w:rFonts w:cs="Arial"/>
          <w:color w:val="000000"/>
        </w:rPr>
        <w:t>)</w:t>
      </w:r>
      <w:proofErr w:type="gramEnd"/>
      <w:r>
        <w:rPr>
          <w:rFonts w:cs="Arial"/>
          <w:color w:val="000000"/>
        </w:rPr>
        <w:br/>
      </w:r>
      <w:hyperlink r:id="rId31" w:history="1">
        <w:r>
          <w:rPr>
            <w:rStyle w:val="Hyperlink"/>
            <w:rFonts w:cs="Arial"/>
          </w:rPr>
          <w:t>ktonga@infrastructure.gov.to</w:t>
        </w:r>
      </w:hyperlink>
      <w:r>
        <w:rPr>
          <w:rFonts w:cs="Arial"/>
          <w:color w:val="000000"/>
        </w:rPr>
        <w:t xml:space="preserve"> / </w:t>
      </w:r>
      <w:hyperlink r:id="rId32" w:history="1">
        <w:r>
          <w:rPr>
            <w:rStyle w:val="Hyperlink"/>
            <w:rFonts w:cs="Arial"/>
          </w:rPr>
          <w:t>mfotuvei@gmail.com</w:t>
        </w:r>
      </w:hyperlink>
    </w:p>
    <w:p w:rsidR="002D47F2" w:rsidRDefault="002D47F2" w:rsidP="00E273DA">
      <w:pPr>
        <w:ind w:left="1440"/>
        <w:rPr>
          <w:rFonts w:cs="Arial"/>
          <w:b/>
          <w:bCs/>
          <w:color w:val="000000"/>
          <w:lang w:val="fr-FR"/>
        </w:rPr>
      </w:pPr>
      <w:r>
        <w:rPr>
          <w:rFonts w:cs="Arial"/>
          <w:b/>
          <w:bCs/>
          <w:color w:val="000000"/>
          <w:lang w:val="fr-FR"/>
        </w:rPr>
        <w:lastRenderedPageBreak/>
        <w:t>Leveni Aho</w:t>
      </w:r>
      <w:r>
        <w:rPr>
          <w:rFonts w:cs="Arial"/>
          <w:b/>
          <w:bCs/>
          <w:color w:val="000000"/>
          <w:lang w:val="fr-FR"/>
        </w:rPr>
        <w:br/>
      </w:r>
      <w:r>
        <w:rPr>
          <w:rFonts w:cs="Arial"/>
          <w:color w:val="000000"/>
        </w:rPr>
        <w:t>Shelter Cluster Lead, National Emergency Management Office (NEMO</w:t>
      </w:r>
      <w:proofErr w:type="gramStart"/>
      <w:r>
        <w:rPr>
          <w:rFonts w:cs="Arial"/>
          <w:color w:val="000000"/>
        </w:rPr>
        <w:t>)</w:t>
      </w:r>
      <w:proofErr w:type="gramEnd"/>
      <w:r>
        <w:rPr>
          <w:rFonts w:cs="Arial"/>
          <w:b/>
          <w:bCs/>
          <w:color w:val="000000"/>
          <w:lang w:val="fr-FR"/>
        </w:rPr>
        <w:br/>
      </w:r>
      <w:hyperlink r:id="rId33" w:history="1">
        <w:r>
          <w:rPr>
            <w:rStyle w:val="Hyperlink"/>
            <w:rFonts w:cs="Arial"/>
          </w:rPr>
          <w:t>+676 8752500</w:t>
        </w:r>
      </w:hyperlink>
      <w:r>
        <w:rPr>
          <w:rFonts w:cs="Arial"/>
          <w:color w:val="000000"/>
        </w:rPr>
        <w:t xml:space="preserve"> </w:t>
      </w:r>
      <w:hyperlink r:id="rId34" w:history="1">
        <w:r>
          <w:rPr>
            <w:rStyle w:val="Hyperlink"/>
            <w:rFonts w:cs="Arial"/>
          </w:rPr>
          <w:t>levenih5@gmail.com</w:t>
        </w:r>
      </w:hyperlink>
    </w:p>
    <w:p w:rsidR="002D47F2" w:rsidRDefault="002D47F2" w:rsidP="00E273DA">
      <w:pPr>
        <w:ind w:left="1440"/>
        <w:rPr>
          <w:rFonts w:cs="Arial"/>
          <w:b/>
          <w:bCs/>
          <w:color w:val="000000"/>
        </w:rPr>
      </w:pPr>
      <w:r>
        <w:rPr>
          <w:rFonts w:cs="Arial"/>
          <w:b/>
          <w:bCs/>
          <w:color w:val="000000"/>
        </w:rPr>
        <w:br/>
        <w:t>Carrie Vaea</w:t>
      </w:r>
      <w:r>
        <w:rPr>
          <w:rFonts w:cs="Arial"/>
          <w:b/>
          <w:bCs/>
          <w:color w:val="000000"/>
        </w:rPr>
        <w:br/>
      </w:r>
      <w:r>
        <w:rPr>
          <w:rFonts w:cs="Arial"/>
          <w:color w:val="000000"/>
        </w:rPr>
        <w:t>Shelter Cluster Coordinator, National Emergency Management Office (NEMO</w:t>
      </w:r>
      <w:proofErr w:type="gramStart"/>
      <w:r>
        <w:rPr>
          <w:rFonts w:cs="Arial"/>
          <w:color w:val="000000"/>
        </w:rPr>
        <w:t>)</w:t>
      </w:r>
      <w:proofErr w:type="gramEnd"/>
      <w:r>
        <w:rPr>
          <w:rFonts w:cs="Arial"/>
          <w:b/>
          <w:bCs/>
          <w:color w:val="000000"/>
        </w:rPr>
        <w:br/>
      </w:r>
      <w:hyperlink r:id="rId35" w:history="1">
        <w:r>
          <w:rPr>
            <w:rStyle w:val="Hyperlink"/>
            <w:rFonts w:cs="Arial"/>
          </w:rPr>
          <w:t>+676 8869070</w:t>
        </w:r>
      </w:hyperlink>
      <w:r>
        <w:rPr>
          <w:rFonts w:cs="Arial"/>
          <w:color w:val="000000"/>
        </w:rPr>
        <w:t xml:space="preserve"> </w:t>
      </w:r>
      <w:hyperlink r:id="rId36" w:history="1">
        <w:r>
          <w:rPr>
            <w:rStyle w:val="Hyperlink"/>
            <w:rFonts w:cs="Arial"/>
          </w:rPr>
          <w:t>carreylvaea@gmail.com</w:t>
        </w:r>
      </w:hyperlink>
    </w:p>
    <w:p w:rsidR="002D47F2" w:rsidRDefault="002D47F2" w:rsidP="00E273DA">
      <w:pPr>
        <w:ind w:left="1440"/>
        <w:rPr>
          <w:rFonts w:cs="Arial"/>
          <w:color w:val="000000"/>
        </w:rPr>
      </w:pPr>
    </w:p>
    <w:p w:rsidR="002D47F2" w:rsidRDefault="002D47F2" w:rsidP="00E273DA">
      <w:pPr>
        <w:ind w:left="1440"/>
        <w:rPr>
          <w:rFonts w:cs="Arial"/>
          <w:b/>
          <w:bCs/>
          <w:color w:val="000000"/>
        </w:rPr>
      </w:pPr>
      <w:r>
        <w:rPr>
          <w:rFonts w:cs="Arial"/>
          <w:b/>
          <w:bCs/>
          <w:color w:val="000000"/>
        </w:rPr>
        <w:t>Robert Dodds / Subesh Prasad</w:t>
      </w:r>
      <w:r>
        <w:rPr>
          <w:rFonts w:cs="Arial"/>
          <w:b/>
          <w:bCs/>
          <w:color w:val="000000"/>
        </w:rPr>
        <w:br/>
      </w:r>
      <w:r>
        <w:rPr>
          <w:rFonts w:cs="Arial"/>
          <w:color w:val="000000"/>
        </w:rPr>
        <w:t>Shelter Cluster support team, International Federation of Red Cross and Red Crescent Societies (IFRC)</w:t>
      </w:r>
      <w:r>
        <w:rPr>
          <w:rFonts w:cs="Arial"/>
          <w:b/>
          <w:bCs/>
          <w:color w:val="000000"/>
        </w:rPr>
        <w:br/>
      </w:r>
      <w:hyperlink r:id="rId37" w:history="1">
        <w:r>
          <w:rPr>
            <w:rStyle w:val="Hyperlink"/>
            <w:rFonts w:cs="Arial"/>
          </w:rPr>
          <w:t>+679 9980173</w:t>
        </w:r>
      </w:hyperlink>
      <w:r>
        <w:rPr>
          <w:rFonts w:cs="Arial"/>
          <w:color w:val="000000"/>
        </w:rPr>
        <w:t xml:space="preserve"> / </w:t>
      </w:r>
      <w:hyperlink r:id="rId38" w:history="1">
        <w:r>
          <w:rPr>
            <w:rStyle w:val="Hyperlink"/>
            <w:rFonts w:cs="Arial"/>
          </w:rPr>
          <w:t>+679 9990185</w:t>
        </w:r>
      </w:hyperlink>
      <w:r>
        <w:rPr>
          <w:rFonts w:cs="Arial"/>
          <w:color w:val="000000"/>
        </w:rPr>
        <w:t xml:space="preserve"> </w:t>
      </w:r>
      <w:hyperlink r:id="rId39" w:history="1">
        <w:r>
          <w:rPr>
            <w:rStyle w:val="Hyperlink"/>
            <w:rFonts w:cs="Arial"/>
          </w:rPr>
          <w:t>coord.pacific@sheltercluster.org</w:t>
        </w:r>
      </w:hyperlink>
    </w:p>
    <w:p w:rsidR="002D47F2" w:rsidRDefault="002D47F2" w:rsidP="00E273DA">
      <w:pPr>
        <w:pStyle w:val="NormalIndent"/>
        <w:rPr>
          <w:rFonts w:eastAsiaTheme="minorHAnsi"/>
          <w:lang w:eastAsia="en-US"/>
        </w:rPr>
      </w:pPr>
    </w:p>
    <w:p w:rsidR="002D47F2" w:rsidRDefault="002D47F2">
      <w:pPr>
        <w:spacing w:before="0" w:after="200" w:line="276" w:lineRule="auto"/>
        <w:rPr>
          <w:rFonts w:eastAsiaTheme="minorHAnsi"/>
          <w:lang w:eastAsia="en-US"/>
        </w:rPr>
      </w:pPr>
      <w:r>
        <w:rPr>
          <w:rFonts w:eastAsiaTheme="minorHAnsi"/>
          <w:lang w:eastAsia="en-US"/>
        </w:rPr>
        <w:br w:type="page"/>
      </w:r>
    </w:p>
    <w:p w:rsidR="002D47F2" w:rsidRDefault="002D47F2" w:rsidP="00E273DA">
      <w:pPr>
        <w:pStyle w:val="AllensHeading1"/>
        <w:rPr>
          <w:rFonts w:eastAsiaTheme="minorHAnsi"/>
          <w:lang w:eastAsia="en-US"/>
        </w:rPr>
      </w:pPr>
      <w:bookmarkStart w:id="99" w:name="_Toc513117809"/>
      <w:r>
        <w:rPr>
          <w:rFonts w:eastAsiaTheme="minorHAnsi"/>
          <w:lang w:eastAsia="en-US"/>
        </w:rPr>
        <w:lastRenderedPageBreak/>
        <w:t>Bibliography</w:t>
      </w:r>
      <w:bookmarkEnd w:id="99"/>
    </w:p>
    <w:p w:rsidR="002D47F2" w:rsidRDefault="002D47F2" w:rsidP="00E273DA">
      <w:pPr>
        <w:pStyle w:val="AllensHeading2"/>
        <w:rPr>
          <w:rFonts w:eastAsiaTheme="minorHAnsi"/>
          <w:lang w:eastAsia="en-US"/>
        </w:rPr>
      </w:pPr>
      <w:bookmarkStart w:id="100" w:name="_Toc513117810"/>
      <w:r>
        <w:rPr>
          <w:rFonts w:eastAsiaTheme="minorHAnsi"/>
          <w:lang w:eastAsia="en-US"/>
        </w:rPr>
        <w:t>Legislation</w:t>
      </w:r>
      <w:bookmarkEnd w:id="100"/>
    </w:p>
    <w:p w:rsidR="002D47F2" w:rsidRDefault="002D47F2" w:rsidP="00E273DA">
      <w:pPr>
        <w:pStyle w:val="NormalIndent"/>
        <w:ind w:left="0"/>
        <w:rPr>
          <w:bCs/>
        </w:rPr>
      </w:pPr>
      <w:r w:rsidRPr="004A119F">
        <w:rPr>
          <w:bCs/>
          <w:i/>
        </w:rPr>
        <w:t>Act of Constitution of Tonga</w:t>
      </w:r>
      <w:r>
        <w:rPr>
          <w:bCs/>
        </w:rPr>
        <w:t xml:space="preserve"> </w:t>
      </w:r>
      <w:r>
        <w:rPr>
          <w:bCs/>
          <w:i/>
        </w:rPr>
        <w:t>1875</w:t>
      </w:r>
    </w:p>
    <w:p w:rsidR="002D47F2" w:rsidRPr="009C054A" w:rsidRDefault="002D47F2" w:rsidP="00E273DA">
      <w:pPr>
        <w:pStyle w:val="NormalIndent"/>
        <w:ind w:left="0"/>
        <w:rPr>
          <w:bCs/>
          <w:i/>
        </w:rPr>
      </w:pPr>
      <w:r w:rsidRPr="009C054A">
        <w:rPr>
          <w:bCs/>
          <w:i/>
        </w:rPr>
        <w:t>Land Act</w:t>
      </w:r>
      <w:r>
        <w:rPr>
          <w:bCs/>
          <w:i/>
        </w:rPr>
        <w:t xml:space="preserve"> 1903</w:t>
      </w:r>
    </w:p>
    <w:p w:rsidR="002D47F2" w:rsidRDefault="002D47F2" w:rsidP="00E273DA">
      <w:pPr>
        <w:pStyle w:val="NormalIndent"/>
        <w:ind w:left="0"/>
        <w:rPr>
          <w:bCs/>
          <w:i/>
        </w:rPr>
      </w:pPr>
      <w:r w:rsidRPr="009C054A">
        <w:rPr>
          <w:bCs/>
          <w:i/>
        </w:rPr>
        <w:t>Nationality Act</w:t>
      </w:r>
      <w:r>
        <w:rPr>
          <w:bCs/>
          <w:i/>
        </w:rPr>
        <w:t xml:space="preserve"> 1915</w:t>
      </w:r>
    </w:p>
    <w:p w:rsidR="002D47F2" w:rsidRDefault="002D47F2" w:rsidP="00E273DA">
      <w:pPr>
        <w:pStyle w:val="NormalIndent"/>
        <w:ind w:left="0"/>
        <w:rPr>
          <w:bCs/>
          <w:i/>
        </w:rPr>
      </w:pPr>
      <w:r>
        <w:rPr>
          <w:bCs/>
          <w:i/>
        </w:rPr>
        <w:t>Nationality Amendment Act 2007</w:t>
      </w:r>
    </w:p>
    <w:p w:rsidR="002D47F2" w:rsidRDefault="002D47F2" w:rsidP="00E273DA">
      <w:pPr>
        <w:pStyle w:val="AllensHeading2"/>
        <w:rPr>
          <w:rFonts w:eastAsiaTheme="minorHAnsi"/>
          <w:lang w:eastAsia="en-US"/>
        </w:rPr>
      </w:pPr>
      <w:bookmarkStart w:id="101" w:name="_Toc513117811"/>
      <w:r>
        <w:rPr>
          <w:rFonts w:eastAsiaTheme="minorHAnsi"/>
          <w:lang w:eastAsia="en-US"/>
        </w:rPr>
        <w:t>Case law</w:t>
      </w:r>
      <w:bookmarkEnd w:id="101"/>
    </w:p>
    <w:p w:rsidR="002D47F2" w:rsidRDefault="002D47F2" w:rsidP="00E273DA">
      <w:pPr>
        <w:pStyle w:val="NormalIndent"/>
        <w:ind w:left="0"/>
      </w:pPr>
      <w:proofErr w:type="spellStart"/>
      <w:r>
        <w:rPr>
          <w:i/>
          <w:iCs/>
        </w:rPr>
        <w:t>Fakatava</w:t>
      </w:r>
      <w:proofErr w:type="spellEnd"/>
      <w:r>
        <w:rPr>
          <w:i/>
          <w:iCs/>
        </w:rPr>
        <w:t xml:space="preserve"> v </w:t>
      </w:r>
      <w:proofErr w:type="spellStart"/>
      <w:r>
        <w:rPr>
          <w:i/>
          <w:iCs/>
        </w:rPr>
        <w:t>Koloamatangai</w:t>
      </w:r>
      <w:proofErr w:type="spellEnd"/>
      <w:r>
        <w:rPr>
          <w:i/>
          <w:iCs/>
        </w:rPr>
        <w:t xml:space="preserve"> </w:t>
      </w:r>
      <w:r>
        <w:t>(1974-1980) Tonga Law Reports 15</w:t>
      </w:r>
    </w:p>
    <w:p w:rsidR="002D47F2" w:rsidRPr="00E929B6" w:rsidRDefault="002D47F2" w:rsidP="00E273DA">
      <w:pPr>
        <w:pStyle w:val="NormalIndent"/>
        <w:ind w:left="0"/>
        <w:rPr>
          <w:rFonts w:eastAsiaTheme="minorHAnsi"/>
          <w:lang w:eastAsia="en-US"/>
        </w:rPr>
      </w:pPr>
      <w:proofErr w:type="spellStart"/>
      <w:r w:rsidRPr="00E929B6">
        <w:rPr>
          <w:bCs/>
          <w:i/>
          <w:iCs/>
        </w:rPr>
        <w:t>Ma'ake</w:t>
      </w:r>
      <w:proofErr w:type="spellEnd"/>
      <w:r w:rsidRPr="00E929B6">
        <w:rPr>
          <w:bCs/>
          <w:i/>
          <w:iCs/>
        </w:rPr>
        <w:t xml:space="preserve"> v </w:t>
      </w:r>
      <w:proofErr w:type="spellStart"/>
      <w:r w:rsidRPr="00E929B6">
        <w:rPr>
          <w:bCs/>
          <w:i/>
          <w:iCs/>
        </w:rPr>
        <w:t>Lataimu'a</w:t>
      </w:r>
      <w:proofErr w:type="spellEnd"/>
      <w:r w:rsidRPr="00E929B6">
        <w:rPr>
          <w:bCs/>
          <w:i/>
          <w:iCs/>
        </w:rPr>
        <w:t xml:space="preserve"> </w:t>
      </w:r>
      <w:r>
        <w:rPr>
          <w:bCs/>
        </w:rPr>
        <w:t>(2007) Tonga Law Reports</w:t>
      </w:r>
      <w:r w:rsidRPr="00E929B6">
        <w:rPr>
          <w:bCs/>
        </w:rPr>
        <w:t xml:space="preserve"> 15</w:t>
      </w:r>
    </w:p>
    <w:p w:rsidR="002D47F2" w:rsidRPr="00E929B6" w:rsidRDefault="002D47F2" w:rsidP="00E273DA">
      <w:pPr>
        <w:pStyle w:val="NormalIndent"/>
        <w:ind w:left="0"/>
        <w:rPr>
          <w:i/>
        </w:rPr>
      </w:pPr>
      <w:r w:rsidRPr="00E929B6">
        <w:rPr>
          <w:bCs/>
          <w:i/>
        </w:rPr>
        <w:t>Manu v '</w:t>
      </w:r>
      <w:proofErr w:type="spellStart"/>
      <w:r w:rsidRPr="00E929B6">
        <w:rPr>
          <w:bCs/>
          <w:i/>
        </w:rPr>
        <w:t>Aholelei</w:t>
      </w:r>
      <w:proofErr w:type="spellEnd"/>
      <w:r w:rsidRPr="00E929B6">
        <w:rPr>
          <w:bCs/>
        </w:rPr>
        <w:t xml:space="preserve"> (Land Court of Tonga, 17 April 2015) LA 13/2014</w:t>
      </w:r>
    </w:p>
    <w:p w:rsidR="002D47F2" w:rsidRPr="00E929B6" w:rsidRDefault="002D47F2" w:rsidP="00E273DA">
      <w:pPr>
        <w:pStyle w:val="NormalIndent"/>
        <w:ind w:left="0"/>
        <w:rPr>
          <w:bCs/>
        </w:rPr>
      </w:pPr>
      <w:proofErr w:type="spellStart"/>
      <w:r>
        <w:rPr>
          <w:i/>
          <w:iCs/>
        </w:rPr>
        <w:t>Motuliki</w:t>
      </w:r>
      <w:proofErr w:type="spellEnd"/>
      <w:r>
        <w:rPr>
          <w:i/>
          <w:iCs/>
        </w:rPr>
        <w:t xml:space="preserve"> v </w:t>
      </w:r>
      <w:proofErr w:type="spellStart"/>
      <w:r>
        <w:rPr>
          <w:i/>
          <w:iCs/>
        </w:rPr>
        <w:t>Namoa</w:t>
      </w:r>
      <w:proofErr w:type="spellEnd"/>
      <w:r>
        <w:rPr>
          <w:i/>
          <w:iCs/>
        </w:rPr>
        <w:t xml:space="preserve"> </w:t>
      </w:r>
      <w:r>
        <w:t>(1990) Tonga Law Reports 61</w:t>
      </w:r>
    </w:p>
    <w:p w:rsidR="002D47F2" w:rsidRDefault="002D47F2" w:rsidP="00E273DA">
      <w:pPr>
        <w:pStyle w:val="NormalIndent"/>
        <w:ind w:left="0"/>
        <w:rPr>
          <w:bCs/>
          <w:i/>
          <w:iCs/>
        </w:rPr>
      </w:pPr>
      <w:r w:rsidRPr="00375E3B">
        <w:rPr>
          <w:bCs/>
          <w:i/>
        </w:rPr>
        <w:t xml:space="preserve">Payne v </w:t>
      </w:r>
      <w:proofErr w:type="spellStart"/>
      <w:r w:rsidRPr="00375E3B">
        <w:rPr>
          <w:bCs/>
          <w:i/>
        </w:rPr>
        <w:t>Fakahau</w:t>
      </w:r>
      <w:proofErr w:type="spellEnd"/>
      <w:r w:rsidRPr="00375E3B">
        <w:rPr>
          <w:bCs/>
          <w:i/>
        </w:rPr>
        <w:t xml:space="preserve"> and others</w:t>
      </w:r>
      <w:r w:rsidRPr="00375E3B">
        <w:rPr>
          <w:bCs/>
        </w:rPr>
        <w:t xml:space="preserve"> (Land Court of Tonga, </w:t>
      </w:r>
      <w:r>
        <w:rPr>
          <w:bCs/>
        </w:rPr>
        <w:t>10 March 2017) LA 23/2014</w:t>
      </w:r>
    </w:p>
    <w:p w:rsidR="002D47F2" w:rsidRPr="00BB58ED" w:rsidRDefault="002D47F2" w:rsidP="00E273DA">
      <w:pPr>
        <w:pStyle w:val="NormalIndent"/>
        <w:ind w:left="0"/>
        <w:rPr>
          <w:bCs/>
          <w:lang w:val="es-EC"/>
        </w:rPr>
      </w:pPr>
      <w:r w:rsidRPr="00BB58ED">
        <w:rPr>
          <w:bCs/>
          <w:i/>
          <w:iCs/>
          <w:lang w:val="es-EC"/>
        </w:rPr>
        <w:t xml:space="preserve">Tata v </w:t>
      </w:r>
      <w:proofErr w:type="spellStart"/>
      <w:r w:rsidRPr="00BB58ED">
        <w:rPr>
          <w:bCs/>
          <w:i/>
          <w:iCs/>
          <w:lang w:val="es-EC"/>
        </w:rPr>
        <w:t>Viau</w:t>
      </w:r>
      <w:proofErr w:type="spellEnd"/>
      <w:r w:rsidRPr="00BB58ED">
        <w:rPr>
          <w:bCs/>
          <w:i/>
          <w:iCs/>
          <w:lang w:val="es-EC"/>
        </w:rPr>
        <w:t xml:space="preserve"> </w:t>
      </w:r>
      <w:r w:rsidRPr="00BB58ED">
        <w:rPr>
          <w:bCs/>
          <w:lang w:val="es-EC"/>
        </w:rPr>
        <w:t>(2006</w:t>
      </w:r>
      <w:proofErr w:type="gramStart"/>
      <w:r w:rsidRPr="00BB58ED">
        <w:rPr>
          <w:bCs/>
          <w:lang w:val="es-EC"/>
        </w:rPr>
        <w:t>)Tonga</w:t>
      </w:r>
      <w:proofErr w:type="gramEnd"/>
      <w:r w:rsidRPr="00BB58ED">
        <w:rPr>
          <w:bCs/>
          <w:lang w:val="es-EC"/>
        </w:rPr>
        <w:t xml:space="preserve"> </w:t>
      </w:r>
      <w:proofErr w:type="spellStart"/>
      <w:r w:rsidRPr="00BB58ED">
        <w:rPr>
          <w:bCs/>
          <w:lang w:val="es-EC"/>
        </w:rPr>
        <w:t>Law</w:t>
      </w:r>
      <w:proofErr w:type="spellEnd"/>
      <w:r w:rsidRPr="00BB58ED">
        <w:rPr>
          <w:bCs/>
          <w:lang w:val="es-EC"/>
        </w:rPr>
        <w:t xml:space="preserve"> </w:t>
      </w:r>
      <w:proofErr w:type="spellStart"/>
      <w:r w:rsidRPr="00BB58ED">
        <w:rPr>
          <w:bCs/>
          <w:lang w:val="es-EC"/>
        </w:rPr>
        <w:t>Reports</w:t>
      </w:r>
      <w:proofErr w:type="spellEnd"/>
      <w:r w:rsidRPr="00BB58ED">
        <w:rPr>
          <w:bCs/>
          <w:lang w:val="es-EC"/>
        </w:rPr>
        <w:t xml:space="preserve"> 287</w:t>
      </w:r>
    </w:p>
    <w:p w:rsidR="002D47F2" w:rsidRDefault="002D47F2" w:rsidP="00E273DA">
      <w:pPr>
        <w:pStyle w:val="NormalIndent"/>
        <w:ind w:left="0"/>
        <w:rPr>
          <w:bCs/>
        </w:rPr>
      </w:pPr>
      <w:r w:rsidRPr="00E929B6">
        <w:rPr>
          <w:i/>
        </w:rPr>
        <w:t xml:space="preserve">Yang v </w:t>
      </w:r>
      <w:proofErr w:type="spellStart"/>
      <w:r w:rsidRPr="00E929B6">
        <w:rPr>
          <w:i/>
        </w:rPr>
        <w:t>Manoa</w:t>
      </w:r>
      <w:proofErr w:type="spellEnd"/>
      <w:r w:rsidRPr="00E929B6">
        <w:rPr>
          <w:i/>
        </w:rPr>
        <w:t xml:space="preserve"> </w:t>
      </w:r>
      <w:r w:rsidRPr="00E929B6">
        <w:t xml:space="preserve">(Court of Appeal of Tonga, 8 April 2016) </w:t>
      </w:r>
      <w:r w:rsidRPr="00E929B6">
        <w:rPr>
          <w:bCs/>
        </w:rPr>
        <w:t>AC 22/2015</w:t>
      </w:r>
    </w:p>
    <w:p w:rsidR="002D47F2" w:rsidRDefault="002D47F2" w:rsidP="00E273DA">
      <w:pPr>
        <w:pStyle w:val="AllensHeading2"/>
        <w:rPr>
          <w:rFonts w:eastAsiaTheme="minorHAnsi"/>
          <w:lang w:eastAsia="en-US"/>
        </w:rPr>
      </w:pPr>
      <w:bookmarkStart w:id="102" w:name="_Toc513117812"/>
      <w:r>
        <w:rPr>
          <w:rFonts w:eastAsiaTheme="minorHAnsi"/>
          <w:lang w:eastAsia="en-US"/>
        </w:rPr>
        <w:t>Secondary Sources</w:t>
      </w:r>
      <w:bookmarkEnd w:id="102"/>
    </w:p>
    <w:p w:rsidR="002D47F2" w:rsidRDefault="002D47F2" w:rsidP="00E273DA">
      <w:pPr>
        <w:pStyle w:val="NormalIndent"/>
        <w:ind w:left="567" w:hanging="567"/>
        <w:rPr>
          <w:rFonts w:eastAsiaTheme="minorHAnsi"/>
          <w:lang w:eastAsia="en-US"/>
        </w:rPr>
      </w:pPr>
      <w:r w:rsidRPr="0014145F">
        <w:rPr>
          <w:rFonts w:eastAsiaTheme="minorHAnsi"/>
          <w:lang w:eastAsia="en-US"/>
        </w:rPr>
        <w:t xml:space="preserve">Central Intelligence Agency, </w:t>
      </w:r>
      <w:r w:rsidRPr="0014145F">
        <w:rPr>
          <w:rFonts w:eastAsiaTheme="minorHAnsi"/>
          <w:i/>
          <w:lang w:eastAsia="en-US"/>
        </w:rPr>
        <w:t>Tonga</w:t>
      </w:r>
      <w:r w:rsidRPr="0014145F">
        <w:rPr>
          <w:rFonts w:eastAsiaTheme="minorHAnsi"/>
          <w:lang w:eastAsia="en-US"/>
        </w:rPr>
        <w:t xml:space="preserve"> </w:t>
      </w:r>
      <w:r>
        <w:rPr>
          <w:rFonts w:eastAsiaTheme="minorHAnsi"/>
          <w:lang w:eastAsia="en-US"/>
        </w:rPr>
        <w:t>&lt;</w:t>
      </w:r>
      <w:r w:rsidRPr="0014145F">
        <w:rPr>
          <w:rFonts w:eastAsiaTheme="minorHAnsi"/>
          <w:lang w:eastAsia="en-US"/>
        </w:rPr>
        <w:t>https://www.cia.gov/library/publications/the-world-factbook/geos/tn.html</w:t>
      </w:r>
      <w:r>
        <w:rPr>
          <w:rFonts w:eastAsiaTheme="minorHAnsi"/>
          <w:lang w:eastAsia="en-US"/>
        </w:rPr>
        <w:t>&gt;</w:t>
      </w:r>
    </w:p>
    <w:p w:rsidR="002D47F2" w:rsidRDefault="002D47F2" w:rsidP="00E273DA">
      <w:pPr>
        <w:pStyle w:val="NormalIndent"/>
        <w:ind w:left="567" w:hanging="567"/>
        <w:rPr>
          <w:rFonts w:eastAsiaTheme="minorHAnsi"/>
          <w:lang w:eastAsia="en-US"/>
        </w:rPr>
      </w:pPr>
      <w:r>
        <w:t>Ministry of Infrastructure, Kingdom of Tonga, 'Resettlement Policy Framework: Tonga Cyclone Ian Reconstruction and Climate Resilience Project' (14 April 2014).</w:t>
      </w:r>
    </w:p>
    <w:p w:rsidR="002D47F2" w:rsidRDefault="002D47F2" w:rsidP="00E273DA">
      <w:pPr>
        <w:pStyle w:val="NormalIndent"/>
        <w:ind w:left="567" w:hanging="567"/>
      </w:pPr>
      <w:r>
        <w:t xml:space="preserve">The Commonwealth, </w:t>
      </w:r>
      <w:r>
        <w:rPr>
          <w:i/>
        </w:rPr>
        <w:t>Tonga: Constitution and Politics</w:t>
      </w:r>
      <w:r>
        <w:t xml:space="preserve"> &lt;</w:t>
      </w:r>
      <w:r w:rsidRPr="006F3EAE">
        <w:t>http://thecommonwealth.org/our-member-countries/tonga/constitution-politics</w:t>
      </w:r>
      <w:r>
        <w:t>&gt;</w:t>
      </w:r>
    </w:p>
    <w:p w:rsidR="002D47F2" w:rsidRDefault="002D47F2" w:rsidP="00E273DA">
      <w:pPr>
        <w:pStyle w:val="NormalIndent"/>
        <w:ind w:left="567" w:hanging="567"/>
      </w:pPr>
      <w:r>
        <w:t>Tonga Department of Statistics,</w:t>
      </w:r>
      <w:r w:rsidRPr="00F540BB">
        <w:t xml:space="preserve"> '</w:t>
      </w:r>
      <w:r>
        <w:rPr>
          <w:bCs/>
        </w:rPr>
        <w:t>2011 Census Key Indicators Vol. 2</w:t>
      </w:r>
      <w:r w:rsidRPr="00F540BB">
        <w:t xml:space="preserve">' </w:t>
      </w:r>
      <w:r>
        <w:t>&lt;</w:t>
      </w:r>
      <w:r w:rsidRPr="00AB1295">
        <w:t>http://tonga.prism.spc.int/component/advlisting/?view=download&amp;fileId=304&amp;Itemid=301</w:t>
      </w:r>
      <w:r>
        <w:t>&gt;</w:t>
      </w:r>
    </w:p>
    <w:p w:rsidR="002D47F2" w:rsidRDefault="002D47F2" w:rsidP="00E273DA">
      <w:pPr>
        <w:pStyle w:val="NormalIndent"/>
        <w:ind w:left="567" w:hanging="567"/>
        <w:rPr>
          <w:rFonts w:eastAsiaTheme="minorHAnsi"/>
          <w:lang w:eastAsia="en-US"/>
        </w:rPr>
      </w:pPr>
      <w:r>
        <w:t>Tonga Department of Statistics,</w:t>
      </w:r>
      <w:r w:rsidRPr="00F540BB">
        <w:t xml:space="preserve"> '</w:t>
      </w:r>
      <w:r>
        <w:rPr>
          <w:bCs/>
        </w:rPr>
        <w:t>2011 Census Key Indicators Vol. 3</w:t>
      </w:r>
      <w:r w:rsidRPr="00F540BB">
        <w:t xml:space="preserve">' </w:t>
      </w:r>
      <w:r>
        <w:t>&lt;</w:t>
      </w:r>
      <w:r w:rsidRPr="00BA6B84">
        <w:t>http://tonga.prism.spc.int/census-population</w:t>
      </w:r>
      <w:r>
        <w:t>&gt;</w:t>
      </w:r>
    </w:p>
    <w:p w:rsidR="002D47F2" w:rsidRDefault="002D47F2" w:rsidP="00E273DA">
      <w:pPr>
        <w:pStyle w:val="NormalIndent"/>
        <w:ind w:left="567" w:hanging="567"/>
        <w:rPr>
          <w:rFonts w:eastAsiaTheme="minorHAnsi"/>
          <w:lang w:eastAsia="en-US"/>
        </w:rPr>
      </w:pPr>
      <w:r w:rsidRPr="00F540BB">
        <w:rPr>
          <w:rFonts w:eastAsiaTheme="minorHAnsi"/>
          <w:lang w:eastAsia="en-US"/>
        </w:rPr>
        <w:t>Tonga Department of Statistics and Secretariat of the Pacific Community, '</w:t>
      </w:r>
      <w:r w:rsidRPr="00F540BB">
        <w:rPr>
          <w:rFonts w:eastAsiaTheme="minorHAnsi"/>
          <w:bCs/>
          <w:lang w:eastAsia="en-US"/>
        </w:rPr>
        <w:t>Tonga 2011 Census of Population and Housing, Volume 2: Analytical Report</w:t>
      </w:r>
      <w:r w:rsidRPr="00F540BB">
        <w:rPr>
          <w:rFonts w:eastAsiaTheme="minorHAnsi"/>
          <w:lang w:eastAsia="en-US"/>
        </w:rPr>
        <w:t>' (January 2014</w:t>
      </w:r>
      <w:r>
        <w:rPr>
          <w:rFonts w:eastAsiaTheme="minorHAnsi"/>
          <w:lang w:eastAsia="en-US"/>
        </w:rPr>
        <w:t>)</w:t>
      </w:r>
    </w:p>
    <w:p w:rsidR="002D47F2" w:rsidRDefault="002D47F2" w:rsidP="00E273DA">
      <w:pPr>
        <w:pStyle w:val="NormalIndent"/>
        <w:ind w:left="567" w:hanging="567"/>
        <w:rPr>
          <w:rFonts w:eastAsiaTheme="minorHAnsi"/>
          <w:lang w:eastAsia="en-US"/>
        </w:rPr>
      </w:pPr>
      <w:r>
        <w:rPr>
          <w:rFonts w:eastAsiaTheme="minorHAnsi"/>
          <w:lang w:eastAsia="en-US"/>
        </w:rPr>
        <w:t xml:space="preserve">Rachel Macleod, Interview with Rosamond Bing, Legal Counsel, </w:t>
      </w:r>
      <w:r w:rsidRPr="00A96E22">
        <w:rPr>
          <w:rFonts w:eastAsiaTheme="minorHAnsi"/>
          <w:lang w:eastAsia="en-US"/>
        </w:rPr>
        <w:t>Ministry</w:t>
      </w:r>
      <w:r>
        <w:rPr>
          <w:rFonts w:eastAsiaTheme="minorHAnsi"/>
          <w:lang w:eastAsia="en-US"/>
        </w:rPr>
        <w:t xml:space="preserve"> of Lands and Natural Resources, </w:t>
      </w:r>
      <w:r w:rsidRPr="00A96E22">
        <w:rPr>
          <w:rFonts w:eastAsiaTheme="minorHAnsi"/>
          <w:lang w:eastAsia="en-US"/>
        </w:rPr>
        <w:t xml:space="preserve">Tonga </w:t>
      </w:r>
      <w:r>
        <w:rPr>
          <w:rFonts w:eastAsiaTheme="minorHAnsi"/>
          <w:lang w:eastAsia="en-US"/>
        </w:rPr>
        <w:t>(Telephone, 3 February 2017)</w:t>
      </w:r>
    </w:p>
    <w:p w:rsidR="002D47F2" w:rsidRDefault="002D47F2" w:rsidP="00E273DA">
      <w:pPr>
        <w:pStyle w:val="NormalIndent"/>
        <w:ind w:left="567" w:hanging="567"/>
        <w:rPr>
          <w:rFonts w:eastAsiaTheme="minorHAnsi"/>
          <w:lang w:eastAsia="en-US"/>
        </w:rPr>
      </w:pPr>
      <w:r w:rsidRPr="00B82FE2">
        <w:rPr>
          <w:rFonts w:eastAsiaTheme="minorHAnsi"/>
          <w:szCs w:val="16"/>
          <w:lang w:eastAsia="en-US"/>
        </w:rPr>
        <w:t xml:space="preserve">Rachel Macleod, Interview with Rosamond Bing, Legal Counsel, Ministry of Lands and Natural Resources, Tonga (Telephone, </w:t>
      </w:r>
      <w:r>
        <w:rPr>
          <w:rFonts w:eastAsiaTheme="minorHAnsi"/>
          <w:szCs w:val="16"/>
          <w:lang w:eastAsia="en-US"/>
        </w:rPr>
        <w:t>12 March</w:t>
      </w:r>
      <w:r w:rsidRPr="00B82FE2">
        <w:rPr>
          <w:rFonts w:eastAsiaTheme="minorHAnsi"/>
          <w:szCs w:val="16"/>
          <w:lang w:eastAsia="en-US"/>
        </w:rPr>
        <w:t xml:space="preserve"> 2017)</w:t>
      </w:r>
    </w:p>
    <w:p w:rsidR="002D47F2" w:rsidRDefault="002D47F2" w:rsidP="00E273DA">
      <w:pPr>
        <w:pStyle w:val="NormalIndent"/>
        <w:ind w:left="567" w:hanging="567"/>
        <w:rPr>
          <w:rFonts w:eastAsiaTheme="minorHAnsi"/>
          <w:lang w:eastAsia="en-US"/>
        </w:rPr>
      </w:pPr>
      <w:r w:rsidRPr="0014145F">
        <w:rPr>
          <w:rFonts w:eastAsiaTheme="minorHAnsi"/>
          <w:lang w:eastAsia="en-US"/>
        </w:rPr>
        <w:t xml:space="preserve">Secretariat of the Pacific Community, </w:t>
      </w:r>
      <w:r w:rsidRPr="0014145F">
        <w:rPr>
          <w:rFonts w:eastAsiaTheme="minorHAnsi"/>
          <w:i/>
          <w:lang w:eastAsia="en-US"/>
        </w:rPr>
        <w:t>Tonga</w:t>
      </w:r>
      <w:r w:rsidRPr="0014145F">
        <w:rPr>
          <w:rFonts w:eastAsiaTheme="minorHAnsi"/>
          <w:lang w:eastAsia="en-US"/>
        </w:rPr>
        <w:t xml:space="preserve"> (7 October, 2007) &lt;http://www.spc.int/Pacifly/Country_profiles/ Tonga.htm&gt;</w:t>
      </w:r>
    </w:p>
    <w:p w:rsidR="002D47F2" w:rsidRDefault="002D47F2" w:rsidP="00E273DA">
      <w:pPr>
        <w:pStyle w:val="NormalIndent"/>
        <w:ind w:left="567" w:hanging="567"/>
        <w:rPr>
          <w:rFonts w:eastAsiaTheme="minorHAnsi"/>
          <w:lang w:eastAsia="en-US"/>
        </w:rPr>
      </w:pPr>
      <w:r w:rsidRPr="005B7C60">
        <w:rPr>
          <w:rFonts w:eastAsiaTheme="minorHAnsi"/>
          <w:lang w:eastAsia="en-US"/>
        </w:rPr>
        <w:t>World Bank, 'Operational Policy OP 4.12 – Involuntary Resettlement' (April 2013)</w:t>
      </w:r>
    </w:p>
    <w:p w:rsidR="002D47F2" w:rsidRPr="00F540BB" w:rsidRDefault="002D47F2" w:rsidP="00E273DA">
      <w:pPr>
        <w:pStyle w:val="NormalIndent"/>
        <w:rPr>
          <w:rFonts w:eastAsiaTheme="minorHAnsi"/>
          <w:lang w:eastAsia="en-US"/>
        </w:rPr>
      </w:pPr>
    </w:p>
    <w:p w:rsidR="00E836FA" w:rsidRDefault="00E836FA" w:rsidP="00531B6F">
      <w:pPr>
        <w:jc w:val="both"/>
        <w:rPr>
          <w:rFonts w:cs="Arial"/>
          <w:b/>
        </w:rPr>
      </w:pPr>
    </w:p>
    <w:sectPr w:rsidR="00E836FA" w:rsidSect="00B72B93">
      <w:headerReference w:type="default" r:id="rId40"/>
      <w:footerReference w:type="default" r:id="rId41"/>
      <w:headerReference w:type="first" r:id="rId42"/>
      <w:footerReference w:type="first" r:id="rId43"/>
      <w:pgSz w:w="11907" w:h="16839"/>
      <w:pgMar w:top="1701" w:right="1134"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75" w:rsidRDefault="00E90975" w:rsidP="00620C38">
      <w:pPr>
        <w:spacing w:before="0" w:line="240" w:lineRule="auto"/>
      </w:pPr>
      <w:r>
        <w:separator/>
      </w:r>
    </w:p>
  </w:endnote>
  <w:endnote w:type="continuationSeparator" w:id="0">
    <w:p w:rsidR="00E90975" w:rsidRDefault="00E90975" w:rsidP="00620C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E8" w:rsidRDefault="00572DE8" w:rsidP="00E273DA">
    <w:pPr>
      <w:pStyle w:val="Footer"/>
    </w:pPr>
    <w:bookmarkStart w:id="32" w:name="AgreementDisclaimer"/>
    <w:r>
      <w:rPr>
        <w:sz w:val="12"/>
      </w:rPr>
      <w:t>Allens is an independent partnership operating in alliance with Linklaters LLP.</w:t>
    </w:r>
  </w:p>
  <w:bookmarkEnd w:id="32"/>
  <w:p w:rsidR="00572DE8" w:rsidRDefault="00572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572DE8" w:rsidRPr="00620C38" w:rsidTr="00E273DA">
      <w:tc>
        <w:tcPr>
          <w:tcW w:w="8647" w:type="dxa"/>
        </w:tcPr>
        <w:p w:rsidR="00572DE8" w:rsidRPr="00620C38" w:rsidRDefault="00572DE8" w:rsidP="00620C38">
          <w:pPr>
            <w:spacing w:before="40" w:line="240" w:lineRule="auto"/>
            <w:rPr>
              <w:noProof/>
              <w:sz w:val="16"/>
            </w:rPr>
          </w:pPr>
          <w:r w:rsidRPr="00620C38">
            <w:rPr>
              <w:noProof/>
              <w:sz w:val="16"/>
            </w:rPr>
            <w:fldChar w:fldCharType="begin"/>
          </w:r>
          <w:r w:rsidRPr="00620C38">
            <w:rPr>
              <w:noProof/>
              <w:sz w:val="16"/>
            </w:rPr>
            <w:instrText xml:space="preserve"> DOCPROPERTY "DOCSFooter"  \* MERGEFORMAT </w:instrText>
          </w:r>
          <w:r w:rsidRPr="00620C38">
            <w:rPr>
              <w:noProof/>
              <w:sz w:val="16"/>
            </w:rPr>
            <w:fldChar w:fldCharType="separate"/>
          </w:r>
          <w:r w:rsidR="00961367">
            <w:rPr>
              <w:noProof/>
              <w:sz w:val="16"/>
            </w:rPr>
            <w:t xml:space="preserve">rrmm A0139034748v3 120641715 </w:t>
          </w:r>
          <w:r w:rsidRPr="00620C38">
            <w:rPr>
              <w:noProof/>
              <w:sz w:val="16"/>
            </w:rPr>
            <w:fldChar w:fldCharType="end"/>
          </w:r>
          <w:r w:rsidRPr="00620C38">
            <w:rPr>
              <w:noProof/>
              <w:sz w:val="16"/>
            </w:rPr>
            <w:t xml:space="preserve">    </w:t>
          </w:r>
          <w:r w:rsidRPr="00620C38">
            <w:rPr>
              <w:noProof/>
              <w:sz w:val="16"/>
            </w:rPr>
            <w:fldChar w:fldCharType="begin"/>
          </w:r>
          <w:r w:rsidRPr="00620C38">
            <w:rPr>
              <w:noProof/>
              <w:sz w:val="16"/>
            </w:rPr>
            <w:instrText xml:space="preserve"> SAVEDATE \@ "d.M.yyyy" \* MERGEFORMAT </w:instrText>
          </w:r>
          <w:r w:rsidRPr="00620C38">
            <w:rPr>
              <w:noProof/>
              <w:sz w:val="16"/>
            </w:rPr>
            <w:fldChar w:fldCharType="separate"/>
          </w:r>
          <w:r w:rsidR="00012C0E">
            <w:rPr>
              <w:noProof/>
              <w:sz w:val="16"/>
            </w:rPr>
            <w:t>24.5.2018</w:t>
          </w:r>
          <w:r w:rsidRPr="00620C38">
            <w:rPr>
              <w:noProof/>
              <w:sz w:val="16"/>
            </w:rPr>
            <w:fldChar w:fldCharType="end"/>
          </w:r>
        </w:p>
      </w:tc>
      <w:tc>
        <w:tcPr>
          <w:tcW w:w="709" w:type="dxa"/>
        </w:tcPr>
        <w:p w:rsidR="00572DE8" w:rsidRPr="00620C38" w:rsidRDefault="00572DE8" w:rsidP="00620C38">
          <w:pPr>
            <w:spacing w:before="40" w:line="240" w:lineRule="auto"/>
            <w:jc w:val="right"/>
            <w:rPr>
              <w:noProof/>
              <w:sz w:val="16"/>
            </w:rPr>
          </w:pPr>
          <w:r w:rsidRPr="00620C38">
            <w:rPr>
              <w:noProof/>
              <w:snapToGrid w:val="0"/>
              <w:sz w:val="16"/>
            </w:rPr>
            <w:t xml:space="preserve">page </w:t>
          </w:r>
          <w:r w:rsidRPr="00620C38">
            <w:rPr>
              <w:noProof/>
              <w:snapToGrid w:val="0"/>
              <w:sz w:val="16"/>
            </w:rPr>
            <w:fldChar w:fldCharType="begin"/>
          </w:r>
          <w:r w:rsidRPr="00620C38">
            <w:rPr>
              <w:noProof/>
              <w:snapToGrid w:val="0"/>
              <w:sz w:val="16"/>
            </w:rPr>
            <w:instrText xml:space="preserve"> PAGE </w:instrText>
          </w:r>
          <w:r w:rsidRPr="00620C38">
            <w:rPr>
              <w:noProof/>
              <w:snapToGrid w:val="0"/>
              <w:sz w:val="16"/>
            </w:rPr>
            <w:fldChar w:fldCharType="separate"/>
          </w:r>
          <w:r w:rsidR="00012C0E">
            <w:rPr>
              <w:noProof/>
              <w:snapToGrid w:val="0"/>
              <w:sz w:val="16"/>
            </w:rPr>
            <w:t>23</w:t>
          </w:r>
          <w:r w:rsidRPr="00620C38">
            <w:rPr>
              <w:noProof/>
              <w:snapToGrid w:val="0"/>
              <w:sz w:val="16"/>
            </w:rPr>
            <w:fldChar w:fldCharType="end"/>
          </w:r>
        </w:p>
      </w:tc>
    </w:tr>
  </w:tbl>
  <w:p w:rsidR="00572DE8" w:rsidRPr="00620C38" w:rsidRDefault="00572DE8" w:rsidP="00620C38">
    <w:pPr>
      <w:pStyle w:val="Footer"/>
    </w:pPr>
    <w:r>
      <w:rPr>
        <w:sz w:val="12"/>
      </w:rPr>
      <w:t>Allens is an independent partnership operating in alliance with Linklaters LLP.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572DE8" w:rsidTr="00E273DA">
      <w:tc>
        <w:tcPr>
          <w:tcW w:w="8647" w:type="dxa"/>
        </w:tcPr>
        <w:p w:rsidR="00572DE8" w:rsidRDefault="00E90975" w:rsidP="00E273DA">
          <w:pPr>
            <w:pStyle w:val="Footer"/>
          </w:pPr>
          <w:r>
            <w:fldChar w:fldCharType="begin"/>
          </w:r>
          <w:r>
            <w:instrText xml:space="preserve"> DOCPROPERTY "DOCSFooter"  \* MERGEFORMAT </w:instrText>
          </w:r>
          <w:r>
            <w:fldChar w:fldCharType="separate"/>
          </w:r>
          <w:r w:rsidR="00961367">
            <w:t xml:space="preserve">rrmm A0139034748v3 120641715 </w:t>
          </w:r>
          <w:r>
            <w:fldChar w:fldCharType="end"/>
          </w:r>
          <w:r w:rsidR="00572DE8">
            <w:t xml:space="preserve">    </w:t>
          </w:r>
          <w:r w:rsidR="00572DE8">
            <w:fldChar w:fldCharType="begin"/>
          </w:r>
          <w:r w:rsidR="00572DE8">
            <w:instrText xml:space="preserve"> SAVEDATE \@ "d.M.yyyy" \* MERGEFORMAT </w:instrText>
          </w:r>
          <w:r w:rsidR="00572DE8">
            <w:fldChar w:fldCharType="separate"/>
          </w:r>
          <w:r w:rsidR="00012C0E">
            <w:t>24.5.2018</w:t>
          </w:r>
          <w:r w:rsidR="00572DE8">
            <w:fldChar w:fldCharType="end"/>
          </w:r>
        </w:p>
      </w:tc>
      <w:tc>
        <w:tcPr>
          <w:tcW w:w="709" w:type="dxa"/>
        </w:tcPr>
        <w:p w:rsidR="00572DE8" w:rsidRDefault="00572DE8" w:rsidP="00E273DA">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6</w:t>
          </w:r>
          <w:r>
            <w:rPr>
              <w:snapToGrid w:val="0"/>
            </w:rPr>
            <w:fldChar w:fldCharType="end"/>
          </w:r>
        </w:p>
      </w:tc>
    </w:tr>
  </w:tbl>
  <w:p w:rsidR="00572DE8" w:rsidRPr="00620C38" w:rsidRDefault="00572DE8" w:rsidP="00620C38">
    <w:pPr>
      <w:pStyle w:val="Footer"/>
    </w:pPr>
    <w:r>
      <w:rPr>
        <w:sz w:val="12"/>
      </w:rPr>
      <w:t>Allens is an independent partnership operating in alliance with Linklaters LLP.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75" w:rsidRDefault="00E90975" w:rsidP="00620C38">
      <w:pPr>
        <w:spacing w:before="0" w:line="240" w:lineRule="auto"/>
      </w:pPr>
      <w:r>
        <w:separator/>
      </w:r>
    </w:p>
  </w:footnote>
  <w:footnote w:type="continuationSeparator" w:id="0">
    <w:p w:rsidR="00E90975" w:rsidRDefault="00E90975" w:rsidP="00620C38">
      <w:pPr>
        <w:spacing w:before="0" w:line="240" w:lineRule="auto"/>
      </w:pPr>
      <w:r>
        <w:continuationSeparator/>
      </w:r>
    </w:p>
  </w:footnote>
  <w:footnote w:id="1">
    <w:p w:rsidR="00572DE8" w:rsidRDefault="00572DE8">
      <w:pPr>
        <w:pStyle w:val="FootnoteText"/>
      </w:pPr>
      <w:r>
        <w:rPr>
          <w:rStyle w:val="FootnoteReference"/>
        </w:rPr>
        <w:footnoteRef/>
      </w:r>
      <w:r>
        <w:t xml:space="preserve"> </w:t>
      </w:r>
      <w:proofErr w:type="gramStart"/>
      <w:r>
        <w:t>Tonga Department of Statistics,</w:t>
      </w:r>
      <w:r w:rsidRPr="00F540BB">
        <w:t xml:space="preserve"> '</w:t>
      </w:r>
      <w:r>
        <w:rPr>
          <w:bCs/>
        </w:rPr>
        <w:t>2011 Census Key Indicators Vol. 2</w:t>
      </w:r>
      <w:r w:rsidRPr="00F540BB">
        <w:t xml:space="preserve">' </w:t>
      </w:r>
      <w:r>
        <w:t>&lt;</w:t>
      </w:r>
      <w:r w:rsidRPr="00AB1295">
        <w:t>http://tonga.prism.spc.int/component/advlisting/?view=download&amp;fileId=304&amp;Itemid=301</w:t>
      </w:r>
      <w:r>
        <w:t>&gt; 1.</w:t>
      </w:r>
      <w:proofErr w:type="gramEnd"/>
    </w:p>
  </w:footnote>
  <w:footnote w:id="2">
    <w:p w:rsidR="00572DE8" w:rsidRDefault="00572DE8">
      <w:pPr>
        <w:pStyle w:val="FootnoteText"/>
      </w:pPr>
      <w:r>
        <w:rPr>
          <w:rStyle w:val="FootnoteReference"/>
        </w:rPr>
        <w:footnoteRef/>
      </w:r>
      <w:r>
        <w:t xml:space="preserve"> Ibid.</w:t>
      </w:r>
    </w:p>
  </w:footnote>
  <w:footnote w:id="3">
    <w:p w:rsidR="00572DE8" w:rsidRDefault="00572DE8">
      <w:pPr>
        <w:pStyle w:val="FootnoteText"/>
      </w:pPr>
      <w:r>
        <w:rPr>
          <w:rStyle w:val="FootnoteReference"/>
        </w:rPr>
        <w:footnoteRef/>
      </w:r>
      <w:r>
        <w:t xml:space="preserve"> </w:t>
      </w:r>
      <w:proofErr w:type="gramStart"/>
      <w:r>
        <w:t>Ibid; Tonga Department of Statistics,</w:t>
      </w:r>
      <w:r w:rsidRPr="00F540BB">
        <w:t xml:space="preserve"> '</w:t>
      </w:r>
      <w:r>
        <w:rPr>
          <w:bCs/>
        </w:rPr>
        <w:t>2011 Census Key Indicators Vol. 3</w:t>
      </w:r>
      <w:r w:rsidRPr="00F540BB">
        <w:t xml:space="preserve">' </w:t>
      </w:r>
      <w:r>
        <w:t>&lt;</w:t>
      </w:r>
      <w:r w:rsidRPr="00BA6B84">
        <w:t>http://tonga.prism.spc.int/census-population</w:t>
      </w:r>
      <w:r>
        <w:t>&gt; 1.</w:t>
      </w:r>
      <w:proofErr w:type="gramEnd"/>
    </w:p>
  </w:footnote>
  <w:footnote w:id="4">
    <w:p w:rsidR="00572DE8" w:rsidRDefault="00572DE8" w:rsidP="00E273DA">
      <w:pPr>
        <w:pStyle w:val="FootnoteText"/>
      </w:pPr>
      <w:r>
        <w:rPr>
          <w:rStyle w:val="FootnoteReference"/>
        </w:rPr>
        <w:footnoteRef/>
      </w:r>
      <w:r>
        <w:t xml:space="preserve"> </w:t>
      </w:r>
      <w:r w:rsidRPr="00F540BB">
        <w:t>Tonga Department of Statistics and Secretariat of the Pacific Community</w:t>
      </w:r>
      <w:r>
        <w:t>,</w:t>
      </w:r>
      <w:r w:rsidRPr="00F540BB">
        <w:t xml:space="preserve"> '</w:t>
      </w:r>
      <w:r w:rsidRPr="00F540BB">
        <w:rPr>
          <w:bCs/>
        </w:rPr>
        <w:t>Tonga 2011 Census of Population and Housing, Volume 2: Analytical Report</w:t>
      </w:r>
      <w:r w:rsidRPr="00F540BB">
        <w:t xml:space="preserve">' </w:t>
      </w:r>
      <w:r>
        <w:t xml:space="preserve">(January 2014) </w:t>
      </w:r>
      <w:r w:rsidRPr="00F540BB">
        <w:t>54.</w:t>
      </w:r>
    </w:p>
  </w:footnote>
  <w:footnote w:id="5">
    <w:p w:rsidR="00572DE8" w:rsidRDefault="00572DE8" w:rsidP="00E273DA">
      <w:pPr>
        <w:pStyle w:val="FootnoteText"/>
      </w:pPr>
      <w:r>
        <w:rPr>
          <w:rStyle w:val="FootnoteReference"/>
        </w:rPr>
        <w:footnoteRef/>
      </w:r>
      <w:r>
        <w:t xml:space="preserve"> </w:t>
      </w:r>
      <w:r w:rsidRPr="00F540BB">
        <w:t>Tonga Department of Statistics and Secretariat of the Pacific Community</w:t>
      </w:r>
      <w:r>
        <w:t>,</w:t>
      </w:r>
      <w:r w:rsidRPr="00F540BB">
        <w:t xml:space="preserve"> '</w:t>
      </w:r>
      <w:r w:rsidRPr="00F540BB">
        <w:rPr>
          <w:bCs/>
        </w:rPr>
        <w:t>Tonga 2011 Census of Population and Housing, Volume 2: Analytical Report</w:t>
      </w:r>
      <w:r w:rsidRPr="00F540BB">
        <w:t xml:space="preserve">' </w:t>
      </w:r>
      <w:r>
        <w:t xml:space="preserve">(January 2014) </w:t>
      </w:r>
      <w:r w:rsidRPr="00F540BB">
        <w:t>54.</w:t>
      </w:r>
    </w:p>
  </w:footnote>
  <w:footnote w:id="6">
    <w:p w:rsidR="00572DE8" w:rsidRDefault="00572DE8">
      <w:pPr>
        <w:pStyle w:val="FootnoteText"/>
      </w:pPr>
      <w:r>
        <w:rPr>
          <w:rStyle w:val="FootnoteReference"/>
        </w:rPr>
        <w:footnoteRef/>
      </w:r>
      <w:r>
        <w:t xml:space="preserve"> The Commonwealth, </w:t>
      </w:r>
      <w:r>
        <w:rPr>
          <w:i/>
        </w:rPr>
        <w:t>Tonga: Constitution and Politics</w:t>
      </w:r>
      <w:r>
        <w:t xml:space="preserve"> &lt;</w:t>
      </w:r>
      <w:r w:rsidRPr="006F3EAE">
        <w:t>http://thecommonwealth.org/our-member-countries/tonga/constitution-politics</w:t>
      </w:r>
      <w:r>
        <w:t>&gt;.</w:t>
      </w:r>
    </w:p>
  </w:footnote>
  <w:footnote w:id="7">
    <w:p w:rsidR="00572DE8" w:rsidRDefault="00572DE8">
      <w:pPr>
        <w:pStyle w:val="FootnoteText"/>
      </w:pPr>
      <w:r>
        <w:rPr>
          <w:rStyle w:val="FootnoteReference"/>
        </w:rPr>
        <w:footnoteRef/>
      </w:r>
      <w:r>
        <w:t xml:space="preserve"> The links provided in </w:t>
      </w:r>
      <w:r w:rsidRPr="00AC724C">
        <w:t xml:space="preserve">section </w:t>
      </w:r>
      <w:hyperlink w:anchor="sec_2_1_a" w:history="1">
        <w:r w:rsidRPr="00AC724C">
          <w:rPr>
            <w:rStyle w:val="Hyperlink"/>
            <w:color w:val="auto"/>
            <w:u w:val="none"/>
          </w:rPr>
          <w:t>2.1(a)</w:t>
        </w:r>
      </w:hyperlink>
      <w:r w:rsidRPr="00AC724C">
        <w:t xml:space="preserve"> are </w:t>
      </w:r>
      <w:r>
        <w:t>to official English translations of the relevant statutes, published by the Attorney General's Office.</w:t>
      </w:r>
    </w:p>
  </w:footnote>
  <w:footnote w:id="8">
    <w:p w:rsidR="00572DE8" w:rsidRDefault="00572DE8">
      <w:pPr>
        <w:pStyle w:val="FootnoteText"/>
      </w:pPr>
      <w:r>
        <w:rPr>
          <w:rStyle w:val="FootnoteReference"/>
        </w:rPr>
        <w:footnoteRef/>
      </w:r>
      <w:r>
        <w:t xml:space="preserve"> </w:t>
      </w:r>
      <w:r>
        <w:rPr>
          <w:bCs/>
        </w:rPr>
        <w:t>Here</w:t>
      </w:r>
      <w:r w:rsidRPr="00446254">
        <w:rPr>
          <w:bCs/>
        </w:rPr>
        <w:t xml:space="preserve">, the term 'Crown' refers to King </w:t>
      </w:r>
      <w:proofErr w:type="spellStart"/>
      <w:r w:rsidRPr="00446254">
        <w:rPr>
          <w:lang w:val="en"/>
        </w:rPr>
        <w:t>Tupou</w:t>
      </w:r>
      <w:proofErr w:type="spellEnd"/>
      <w:r w:rsidRPr="00446254">
        <w:rPr>
          <w:lang w:val="en"/>
        </w:rPr>
        <w:t xml:space="preserve"> VI</w:t>
      </w:r>
      <w:r>
        <w:rPr>
          <w:bCs/>
        </w:rPr>
        <w:t>, rather than to the executive branch of government.</w:t>
      </w:r>
    </w:p>
  </w:footnote>
  <w:footnote w:id="9">
    <w:p w:rsidR="00572DE8" w:rsidRDefault="00572DE8" w:rsidP="00E273DA">
      <w:pPr>
        <w:pStyle w:val="FootnoteText"/>
      </w:pPr>
      <w:r>
        <w:rPr>
          <w:rStyle w:val="FootnoteReference"/>
        </w:rPr>
        <w:footnoteRef/>
      </w:r>
      <w:r>
        <w:t xml:space="preserve"> </w:t>
      </w:r>
      <w:r w:rsidRPr="0029111B">
        <w:rPr>
          <w:i/>
        </w:rPr>
        <w:t xml:space="preserve">Yang v </w:t>
      </w:r>
      <w:proofErr w:type="spellStart"/>
      <w:r w:rsidRPr="0029111B">
        <w:rPr>
          <w:i/>
        </w:rPr>
        <w:t>Manoa</w:t>
      </w:r>
      <w:proofErr w:type="spellEnd"/>
      <w:r w:rsidRPr="0029111B">
        <w:rPr>
          <w:i/>
        </w:rPr>
        <w:t xml:space="preserve"> </w:t>
      </w:r>
      <w:r>
        <w:t xml:space="preserve">(Court of Appeal of Tonga, 8 April 2016) [16]; </w:t>
      </w:r>
      <w:r w:rsidRPr="00B82FE2">
        <w:rPr>
          <w:rFonts w:eastAsiaTheme="minorHAnsi"/>
          <w:szCs w:val="16"/>
          <w:lang w:eastAsia="en-US"/>
        </w:rPr>
        <w:t>Rachel Macleod, Interview with Rosamond Bing, Legal Counsel, Ministry of Lands and Natural Resources, Tonga (Telephone, 3 February 2017)</w:t>
      </w:r>
      <w:r>
        <w:rPr>
          <w:rFonts w:eastAsiaTheme="minorHAnsi"/>
          <w:szCs w:val="16"/>
          <w:lang w:eastAsia="en-US"/>
        </w:rPr>
        <w:t>.</w:t>
      </w:r>
    </w:p>
  </w:footnote>
  <w:footnote w:id="10">
    <w:p w:rsidR="00572DE8" w:rsidRPr="009E6206" w:rsidRDefault="00572DE8" w:rsidP="00E273DA">
      <w:pPr>
        <w:pStyle w:val="FootnoteText"/>
        <w:rPr>
          <w:rFonts w:cs="Arial"/>
          <w:szCs w:val="16"/>
        </w:rPr>
      </w:pPr>
      <w:r w:rsidRPr="009E6206">
        <w:rPr>
          <w:rStyle w:val="FootnoteReference"/>
          <w:rFonts w:cs="Arial"/>
          <w:szCs w:val="16"/>
        </w:rPr>
        <w:footnoteRef/>
      </w:r>
      <w:r w:rsidRPr="009E6206">
        <w:rPr>
          <w:rFonts w:cs="Arial"/>
          <w:szCs w:val="16"/>
        </w:rPr>
        <w:t xml:space="preserve"> </w:t>
      </w:r>
      <w:r w:rsidRPr="00C6541A">
        <w:rPr>
          <w:rFonts w:cs="Arial"/>
          <w:i/>
          <w:szCs w:val="16"/>
        </w:rPr>
        <w:t>Land Act 19</w:t>
      </w:r>
      <w:r>
        <w:rPr>
          <w:rFonts w:cs="Arial"/>
          <w:i/>
          <w:szCs w:val="16"/>
        </w:rPr>
        <w:t>03</w:t>
      </w:r>
      <w:r>
        <w:rPr>
          <w:rFonts w:cs="Arial"/>
          <w:szCs w:val="16"/>
        </w:rPr>
        <w:t xml:space="preserve"> ss 5, 41 (the </w:t>
      </w:r>
      <w:r w:rsidRPr="00EF06A0">
        <w:rPr>
          <w:rFonts w:cs="Arial"/>
          <w:b/>
          <w:i/>
          <w:szCs w:val="16"/>
        </w:rPr>
        <w:t>Land Act</w:t>
      </w:r>
      <w:r>
        <w:rPr>
          <w:rFonts w:cs="Arial"/>
          <w:szCs w:val="16"/>
        </w:rPr>
        <w:t>).</w:t>
      </w:r>
    </w:p>
  </w:footnote>
  <w:footnote w:id="11">
    <w:p w:rsidR="00572DE8" w:rsidRDefault="00572DE8">
      <w:pPr>
        <w:pStyle w:val="FootnoteText"/>
      </w:pPr>
      <w:r>
        <w:rPr>
          <w:rStyle w:val="FootnoteReference"/>
        </w:rPr>
        <w:footnoteRef/>
      </w:r>
      <w:r>
        <w:t xml:space="preserve"> </w:t>
      </w:r>
      <w:r w:rsidRPr="00B42064">
        <w:t>Ibid Schedule 1 'Hereditary Estates'.</w:t>
      </w:r>
    </w:p>
  </w:footnote>
  <w:footnote w:id="12">
    <w:p w:rsidR="00572DE8" w:rsidRDefault="00572DE8">
      <w:pPr>
        <w:pStyle w:val="FootnoteText"/>
      </w:pPr>
      <w:r>
        <w:rPr>
          <w:rStyle w:val="FootnoteReference"/>
        </w:rPr>
        <w:footnoteRef/>
      </w:r>
      <w:r>
        <w:t xml:space="preserve"> </w:t>
      </w:r>
      <w:proofErr w:type="gramStart"/>
      <w:r>
        <w:t>Ibid ss 33, 101.</w:t>
      </w:r>
      <w:proofErr w:type="gramEnd"/>
    </w:p>
  </w:footnote>
  <w:footnote w:id="13">
    <w:p w:rsidR="00572DE8" w:rsidRDefault="00572DE8">
      <w:pPr>
        <w:pStyle w:val="FootnoteText"/>
      </w:pPr>
      <w:r>
        <w:rPr>
          <w:rStyle w:val="FootnoteReference"/>
        </w:rPr>
        <w:footnoteRef/>
      </w:r>
      <w:r>
        <w:t xml:space="preserve"> Ibid.</w:t>
      </w:r>
    </w:p>
  </w:footnote>
  <w:footnote w:id="14">
    <w:p w:rsidR="00572DE8" w:rsidRPr="0055425B" w:rsidRDefault="00572DE8">
      <w:pPr>
        <w:pStyle w:val="FootnoteText"/>
        <w:rPr>
          <w:rFonts w:cs="Arial"/>
          <w:szCs w:val="16"/>
        </w:rPr>
      </w:pPr>
      <w:r w:rsidRPr="0055425B">
        <w:rPr>
          <w:rStyle w:val="FootnoteReference"/>
          <w:rFonts w:cs="Arial"/>
          <w:szCs w:val="16"/>
        </w:rPr>
        <w:footnoteRef/>
      </w:r>
      <w:r w:rsidRPr="0055425B">
        <w:rPr>
          <w:rFonts w:cs="Arial"/>
          <w:szCs w:val="16"/>
        </w:rPr>
        <w:t xml:space="preserve"> </w:t>
      </w:r>
      <w:proofErr w:type="gramStart"/>
      <w:r w:rsidRPr="0055425B">
        <w:rPr>
          <w:rFonts w:cs="Arial"/>
          <w:szCs w:val="16"/>
        </w:rPr>
        <w:t>Ibid s 10(1).</w:t>
      </w:r>
      <w:proofErr w:type="gramEnd"/>
    </w:p>
  </w:footnote>
  <w:footnote w:id="15">
    <w:p w:rsidR="00572DE8" w:rsidRPr="0055425B" w:rsidRDefault="00572DE8">
      <w:pPr>
        <w:pStyle w:val="FootnoteText"/>
        <w:rPr>
          <w:rFonts w:cs="Arial"/>
          <w:szCs w:val="16"/>
        </w:rPr>
      </w:pPr>
      <w:r w:rsidRPr="0055425B">
        <w:rPr>
          <w:rStyle w:val="FootnoteReference"/>
          <w:rFonts w:cs="Arial"/>
          <w:szCs w:val="16"/>
        </w:rPr>
        <w:footnoteRef/>
      </w:r>
      <w:r w:rsidRPr="0055425B">
        <w:rPr>
          <w:rFonts w:cs="Arial"/>
          <w:szCs w:val="16"/>
        </w:rPr>
        <w:t xml:space="preserve"> Ibid.</w:t>
      </w:r>
    </w:p>
  </w:footnote>
  <w:footnote w:id="16">
    <w:p w:rsidR="00572DE8" w:rsidRPr="0055425B" w:rsidRDefault="00572DE8">
      <w:pPr>
        <w:pStyle w:val="FootnoteText"/>
        <w:rPr>
          <w:rFonts w:cs="Arial"/>
          <w:szCs w:val="16"/>
        </w:rPr>
      </w:pPr>
      <w:r w:rsidRPr="0055425B">
        <w:rPr>
          <w:rStyle w:val="FootnoteReference"/>
          <w:rFonts w:cs="Arial"/>
          <w:szCs w:val="16"/>
        </w:rPr>
        <w:footnoteRef/>
      </w:r>
      <w:r w:rsidRPr="0055425B">
        <w:rPr>
          <w:rFonts w:cs="Arial"/>
          <w:szCs w:val="16"/>
        </w:rPr>
        <w:t xml:space="preserve"> </w:t>
      </w:r>
      <w:proofErr w:type="gramStart"/>
      <w:r w:rsidRPr="0055425B">
        <w:rPr>
          <w:rFonts w:cs="Arial"/>
          <w:szCs w:val="16"/>
        </w:rPr>
        <w:t>Ibid s 10.</w:t>
      </w:r>
      <w:proofErr w:type="gramEnd"/>
    </w:p>
  </w:footnote>
  <w:footnote w:id="17">
    <w:p w:rsidR="00572DE8" w:rsidRPr="0055425B" w:rsidRDefault="00572DE8">
      <w:pPr>
        <w:pStyle w:val="FootnoteText"/>
        <w:rPr>
          <w:rFonts w:cs="Arial"/>
          <w:szCs w:val="16"/>
        </w:rPr>
      </w:pPr>
      <w:r w:rsidRPr="0055425B">
        <w:rPr>
          <w:rStyle w:val="FootnoteReference"/>
          <w:rFonts w:cs="Arial"/>
          <w:szCs w:val="16"/>
        </w:rPr>
        <w:footnoteRef/>
      </w:r>
      <w:r w:rsidRPr="0055425B">
        <w:rPr>
          <w:rFonts w:cs="Arial"/>
          <w:szCs w:val="16"/>
        </w:rPr>
        <w:t xml:space="preserve"> </w:t>
      </w:r>
      <w:proofErr w:type="gramStart"/>
      <w:r w:rsidRPr="0055425B">
        <w:rPr>
          <w:rFonts w:cs="Arial"/>
          <w:szCs w:val="16"/>
        </w:rPr>
        <w:t>Ibid s 113.</w:t>
      </w:r>
      <w:proofErr w:type="gramEnd"/>
    </w:p>
  </w:footnote>
  <w:footnote w:id="18">
    <w:p w:rsidR="00572DE8" w:rsidRPr="0055425B" w:rsidRDefault="00572DE8">
      <w:pPr>
        <w:pStyle w:val="FootnoteText"/>
        <w:rPr>
          <w:rFonts w:cs="Arial"/>
          <w:szCs w:val="16"/>
        </w:rPr>
      </w:pPr>
      <w:r w:rsidRPr="0055425B">
        <w:rPr>
          <w:rStyle w:val="FootnoteReference"/>
          <w:rFonts w:cs="Arial"/>
          <w:szCs w:val="16"/>
        </w:rPr>
        <w:footnoteRef/>
      </w:r>
      <w:r w:rsidRPr="0055425B">
        <w:rPr>
          <w:rFonts w:cs="Arial"/>
          <w:szCs w:val="16"/>
        </w:rPr>
        <w:t xml:space="preserve"> </w:t>
      </w:r>
      <w:proofErr w:type="gramStart"/>
      <w:r w:rsidRPr="0055425B">
        <w:rPr>
          <w:rFonts w:cs="Arial"/>
          <w:szCs w:val="16"/>
        </w:rPr>
        <w:t>Ibid s 113.</w:t>
      </w:r>
      <w:proofErr w:type="gramEnd"/>
    </w:p>
  </w:footnote>
  <w:footnote w:id="19">
    <w:p w:rsidR="00572DE8" w:rsidRPr="0055425B" w:rsidRDefault="00572DE8" w:rsidP="00E273DA">
      <w:pPr>
        <w:pStyle w:val="FootnoteText"/>
        <w:rPr>
          <w:rFonts w:cs="Arial"/>
          <w:szCs w:val="16"/>
        </w:rPr>
      </w:pPr>
      <w:r w:rsidRPr="0055425B">
        <w:rPr>
          <w:rStyle w:val="FootnoteReference"/>
          <w:rFonts w:cs="Arial"/>
          <w:szCs w:val="16"/>
        </w:rPr>
        <w:footnoteRef/>
      </w:r>
      <w:r w:rsidRPr="0055425B">
        <w:rPr>
          <w:rFonts w:cs="Arial"/>
          <w:szCs w:val="16"/>
        </w:rPr>
        <w:t xml:space="preserve"> </w:t>
      </w:r>
      <w:proofErr w:type="gramStart"/>
      <w:r w:rsidRPr="0055425B">
        <w:rPr>
          <w:rFonts w:cs="Arial"/>
          <w:szCs w:val="16"/>
        </w:rPr>
        <w:t>Ibid s 2.</w:t>
      </w:r>
      <w:proofErr w:type="gramEnd"/>
    </w:p>
  </w:footnote>
  <w:footnote w:id="20">
    <w:p w:rsidR="00572DE8" w:rsidRPr="0055425B" w:rsidRDefault="00572DE8">
      <w:pPr>
        <w:pStyle w:val="FootnoteText"/>
        <w:rPr>
          <w:rFonts w:cs="Arial"/>
          <w:szCs w:val="16"/>
        </w:rPr>
      </w:pPr>
      <w:r w:rsidRPr="0055425B">
        <w:rPr>
          <w:rStyle w:val="FootnoteReference"/>
          <w:rFonts w:cs="Arial"/>
          <w:szCs w:val="16"/>
        </w:rPr>
        <w:footnoteRef/>
      </w:r>
      <w:r w:rsidRPr="0055425B">
        <w:rPr>
          <w:rFonts w:cs="Arial"/>
          <w:szCs w:val="16"/>
        </w:rPr>
        <w:t xml:space="preserve"> </w:t>
      </w:r>
      <w:proofErr w:type="gramStart"/>
      <w:r w:rsidRPr="0055425B">
        <w:rPr>
          <w:rFonts w:cs="Arial"/>
          <w:szCs w:val="16"/>
        </w:rPr>
        <w:t>Ibid ss 5, 82.</w:t>
      </w:r>
      <w:proofErr w:type="gramEnd"/>
    </w:p>
  </w:footnote>
  <w:footnote w:id="21">
    <w:p w:rsidR="00572DE8" w:rsidRPr="0055425B" w:rsidRDefault="00572DE8" w:rsidP="00E273DA">
      <w:pPr>
        <w:pStyle w:val="FootnoteText"/>
        <w:rPr>
          <w:rFonts w:cs="Arial"/>
          <w:szCs w:val="16"/>
        </w:rPr>
      </w:pPr>
      <w:r w:rsidRPr="0055425B">
        <w:rPr>
          <w:rStyle w:val="FootnoteReference"/>
          <w:rFonts w:cs="Arial"/>
          <w:szCs w:val="16"/>
        </w:rPr>
        <w:footnoteRef/>
      </w:r>
      <w:r w:rsidRPr="0055425B">
        <w:rPr>
          <w:rFonts w:cs="Arial"/>
          <w:szCs w:val="16"/>
        </w:rPr>
        <w:t xml:space="preserve"> </w:t>
      </w:r>
      <w:proofErr w:type="gramStart"/>
      <w:r w:rsidRPr="0055425B">
        <w:rPr>
          <w:rFonts w:cs="Arial"/>
          <w:szCs w:val="16"/>
        </w:rPr>
        <w:t>Ibid s 50(e).</w:t>
      </w:r>
      <w:proofErr w:type="gramEnd"/>
    </w:p>
  </w:footnote>
  <w:footnote w:id="22">
    <w:p w:rsidR="00572DE8" w:rsidRPr="0055425B" w:rsidRDefault="00572DE8" w:rsidP="00E273DA">
      <w:pPr>
        <w:pStyle w:val="FootnoteText"/>
        <w:rPr>
          <w:rFonts w:cs="Arial"/>
          <w:szCs w:val="16"/>
        </w:rPr>
      </w:pPr>
      <w:r w:rsidRPr="0055425B">
        <w:rPr>
          <w:rStyle w:val="FootnoteReference"/>
          <w:rFonts w:cs="Arial"/>
          <w:szCs w:val="16"/>
        </w:rPr>
        <w:footnoteRef/>
      </w:r>
      <w:r w:rsidRPr="0055425B">
        <w:rPr>
          <w:rFonts w:cs="Arial"/>
          <w:szCs w:val="16"/>
        </w:rPr>
        <w:t xml:space="preserve"> </w:t>
      </w:r>
      <w:proofErr w:type="gramStart"/>
      <w:r w:rsidRPr="0055425B">
        <w:rPr>
          <w:rFonts w:cs="Arial"/>
          <w:szCs w:val="16"/>
        </w:rPr>
        <w:t>Ibid s 31.</w:t>
      </w:r>
      <w:proofErr w:type="gramEnd"/>
    </w:p>
  </w:footnote>
  <w:footnote w:id="23">
    <w:p w:rsidR="00572DE8" w:rsidRPr="0055425B" w:rsidRDefault="00572DE8">
      <w:pPr>
        <w:pStyle w:val="FootnoteText"/>
        <w:rPr>
          <w:rFonts w:cs="Arial"/>
          <w:szCs w:val="16"/>
        </w:rPr>
      </w:pPr>
      <w:r w:rsidRPr="0055425B">
        <w:rPr>
          <w:rStyle w:val="FootnoteReference"/>
          <w:rFonts w:cs="Arial"/>
          <w:szCs w:val="16"/>
        </w:rPr>
        <w:footnoteRef/>
      </w:r>
      <w:r w:rsidRPr="0055425B">
        <w:rPr>
          <w:rFonts w:cs="Arial"/>
          <w:szCs w:val="16"/>
        </w:rPr>
        <w:t xml:space="preserve"> </w:t>
      </w:r>
      <w:proofErr w:type="gramStart"/>
      <w:r w:rsidRPr="0055425B">
        <w:rPr>
          <w:rFonts w:cs="Arial"/>
          <w:szCs w:val="16"/>
        </w:rPr>
        <w:t>Ibid s 64.</w:t>
      </w:r>
      <w:proofErr w:type="gramEnd"/>
    </w:p>
  </w:footnote>
  <w:footnote w:id="24">
    <w:p w:rsidR="00572DE8" w:rsidRPr="0055425B" w:rsidRDefault="00572DE8">
      <w:pPr>
        <w:pStyle w:val="FootnoteText"/>
        <w:rPr>
          <w:rFonts w:cs="Arial"/>
          <w:szCs w:val="16"/>
        </w:rPr>
      </w:pPr>
      <w:r w:rsidRPr="0055425B">
        <w:rPr>
          <w:rStyle w:val="FootnoteReference"/>
          <w:rFonts w:cs="Arial"/>
          <w:szCs w:val="16"/>
        </w:rPr>
        <w:footnoteRef/>
      </w:r>
      <w:r w:rsidRPr="0055425B">
        <w:rPr>
          <w:rFonts w:cs="Arial"/>
          <w:szCs w:val="16"/>
        </w:rPr>
        <w:t xml:space="preserve"> </w:t>
      </w:r>
      <w:proofErr w:type="gramStart"/>
      <w:r w:rsidRPr="0055425B">
        <w:rPr>
          <w:rFonts w:cs="Arial"/>
          <w:szCs w:val="16"/>
        </w:rPr>
        <w:t>Ibid ss 56, 100.</w:t>
      </w:r>
      <w:proofErr w:type="gramEnd"/>
    </w:p>
  </w:footnote>
  <w:footnote w:id="25">
    <w:p w:rsidR="00572DE8" w:rsidRPr="009E6206" w:rsidRDefault="00572DE8" w:rsidP="00E273DA">
      <w:pPr>
        <w:pStyle w:val="FootnoteText"/>
        <w:rPr>
          <w:rFonts w:cs="Arial"/>
          <w:szCs w:val="16"/>
        </w:rPr>
      </w:pPr>
      <w:r w:rsidRPr="009E6206">
        <w:rPr>
          <w:rStyle w:val="FootnoteReference"/>
          <w:rFonts w:cs="Arial"/>
          <w:szCs w:val="16"/>
        </w:rPr>
        <w:footnoteRef/>
      </w:r>
      <w:r w:rsidRPr="009E6206">
        <w:rPr>
          <w:rFonts w:cs="Arial"/>
          <w:szCs w:val="16"/>
        </w:rPr>
        <w:t xml:space="preserve"> </w:t>
      </w:r>
      <w:proofErr w:type="gramStart"/>
      <w:r w:rsidRPr="00C10E58">
        <w:rPr>
          <w:rFonts w:cs="Arial"/>
          <w:szCs w:val="16"/>
        </w:rPr>
        <w:t>Ibid s 43(1).</w:t>
      </w:r>
      <w:proofErr w:type="gramEnd"/>
    </w:p>
  </w:footnote>
  <w:footnote w:id="26">
    <w:p w:rsidR="00572DE8" w:rsidRDefault="00572DE8" w:rsidP="00E273DA">
      <w:pPr>
        <w:pStyle w:val="FootnoteText"/>
      </w:pPr>
      <w:r>
        <w:rPr>
          <w:rStyle w:val="FootnoteReference"/>
        </w:rPr>
        <w:footnoteRef/>
      </w:r>
      <w:r>
        <w:t xml:space="preserve"> </w:t>
      </w:r>
      <w:r w:rsidRPr="005313C3">
        <w:rPr>
          <w:i/>
        </w:rPr>
        <w:t>Nationality Act 1915</w:t>
      </w:r>
      <w:r>
        <w:t xml:space="preserve"> s 2 as amended by the Nationality (Amendment) Act 2007.</w:t>
      </w:r>
    </w:p>
  </w:footnote>
  <w:footnote w:id="27">
    <w:p w:rsidR="00572DE8" w:rsidRPr="009E6206" w:rsidRDefault="00572DE8" w:rsidP="00E273DA">
      <w:pPr>
        <w:pStyle w:val="FootnoteText"/>
        <w:rPr>
          <w:rFonts w:cs="Arial"/>
          <w:szCs w:val="16"/>
        </w:rPr>
      </w:pPr>
      <w:r w:rsidRPr="009E6206">
        <w:rPr>
          <w:rStyle w:val="FootnoteReference"/>
          <w:rFonts w:cs="Arial"/>
          <w:szCs w:val="16"/>
        </w:rPr>
        <w:footnoteRef/>
      </w:r>
      <w:r w:rsidRPr="009E6206">
        <w:rPr>
          <w:rFonts w:cs="Arial"/>
          <w:szCs w:val="16"/>
        </w:rPr>
        <w:t xml:space="preserve"> </w:t>
      </w:r>
      <w:proofErr w:type="gramStart"/>
      <w:r>
        <w:rPr>
          <w:rFonts w:cs="Arial"/>
          <w:szCs w:val="16"/>
        </w:rPr>
        <w:t>Ibid</w:t>
      </w:r>
      <w:r w:rsidRPr="009E6206">
        <w:rPr>
          <w:rFonts w:cs="Arial"/>
          <w:szCs w:val="16"/>
        </w:rPr>
        <w:t xml:space="preserve"> s 43(2).</w:t>
      </w:r>
      <w:proofErr w:type="gramEnd"/>
    </w:p>
  </w:footnote>
  <w:footnote w:id="28">
    <w:p w:rsidR="00572DE8" w:rsidRDefault="00572DE8" w:rsidP="00E273DA">
      <w:pPr>
        <w:pStyle w:val="FootnoteText"/>
      </w:pPr>
      <w:r w:rsidRPr="0055425B">
        <w:rPr>
          <w:rStyle w:val="FootnoteReference"/>
          <w:rFonts w:cs="Arial"/>
          <w:szCs w:val="16"/>
        </w:rPr>
        <w:footnoteRef/>
      </w:r>
      <w:r w:rsidRPr="0055425B">
        <w:rPr>
          <w:rFonts w:cs="Arial"/>
          <w:szCs w:val="16"/>
        </w:rPr>
        <w:t xml:space="preserve"> </w:t>
      </w:r>
      <w:r w:rsidRPr="0055425B">
        <w:rPr>
          <w:rFonts w:eastAsiaTheme="minorHAnsi" w:cs="Arial"/>
          <w:szCs w:val="16"/>
          <w:lang w:eastAsia="en-US"/>
        </w:rPr>
        <w:t>Rachel Macleod, Interview with Rosamond Bing, Legal Counsel, Ministry of Lands and Natural Resources, Tonga (Telephone, 3 February 2017).</w:t>
      </w:r>
    </w:p>
  </w:footnote>
  <w:footnote w:id="29">
    <w:p w:rsidR="00572DE8" w:rsidRPr="00B82FE2" w:rsidRDefault="00572DE8" w:rsidP="00E273DA">
      <w:pPr>
        <w:pStyle w:val="FootnoteText"/>
        <w:rPr>
          <w:szCs w:val="16"/>
        </w:rPr>
      </w:pPr>
      <w:r w:rsidRPr="00B82FE2">
        <w:rPr>
          <w:rStyle w:val="FootnoteReference"/>
          <w:szCs w:val="16"/>
        </w:rPr>
        <w:footnoteRef/>
      </w:r>
      <w:r w:rsidRPr="00B82FE2">
        <w:rPr>
          <w:szCs w:val="16"/>
        </w:rPr>
        <w:t xml:space="preserve"> </w:t>
      </w:r>
      <w:proofErr w:type="gramStart"/>
      <w:r>
        <w:rPr>
          <w:rFonts w:cs="Arial"/>
          <w:szCs w:val="16"/>
        </w:rPr>
        <w:t>Ibid</w:t>
      </w:r>
      <w:r>
        <w:rPr>
          <w:szCs w:val="16"/>
        </w:rPr>
        <w:t xml:space="preserve"> s 33, 89.</w:t>
      </w:r>
      <w:proofErr w:type="gramEnd"/>
    </w:p>
  </w:footnote>
  <w:footnote w:id="30">
    <w:p w:rsidR="00572DE8" w:rsidRPr="00B82FE2" w:rsidRDefault="00572DE8" w:rsidP="00E273DA">
      <w:pPr>
        <w:pStyle w:val="FootnoteText"/>
        <w:rPr>
          <w:szCs w:val="16"/>
        </w:rPr>
      </w:pPr>
      <w:r w:rsidRPr="00B82FE2">
        <w:rPr>
          <w:rStyle w:val="FootnoteReference"/>
          <w:szCs w:val="16"/>
        </w:rPr>
        <w:footnoteRef/>
      </w:r>
      <w:r w:rsidRPr="00B82FE2">
        <w:rPr>
          <w:szCs w:val="16"/>
        </w:rPr>
        <w:t xml:space="preserve"> </w:t>
      </w:r>
      <w:proofErr w:type="gramStart"/>
      <w:r>
        <w:rPr>
          <w:rFonts w:cs="Arial"/>
          <w:szCs w:val="16"/>
        </w:rPr>
        <w:t>Ibid</w:t>
      </w:r>
      <w:r w:rsidRPr="00B82FE2">
        <w:rPr>
          <w:szCs w:val="16"/>
        </w:rPr>
        <w:t xml:space="preserve"> s 33.</w:t>
      </w:r>
      <w:proofErr w:type="gramEnd"/>
    </w:p>
  </w:footnote>
  <w:footnote w:id="31">
    <w:p w:rsidR="00572DE8" w:rsidRPr="00B82FE2" w:rsidRDefault="00572DE8" w:rsidP="00E273DA">
      <w:pPr>
        <w:pStyle w:val="FootnoteText"/>
        <w:rPr>
          <w:szCs w:val="16"/>
        </w:rPr>
      </w:pPr>
      <w:r w:rsidRPr="00B82FE2">
        <w:rPr>
          <w:rStyle w:val="FootnoteReference"/>
          <w:szCs w:val="16"/>
        </w:rPr>
        <w:footnoteRef/>
      </w:r>
      <w:r w:rsidRPr="00B82FE2">
        <w:rPr>
          <w:szCs w:val="16"/>
        </w:rPr>
        <w:t xml:space="preserve"> </w:t>
      </w:r>
      <w:proofErr w:type="gramStart"/>
      <w:r>
        <w:rPr>
          <w:rFonts w:cs="Arial"/>
          <w:szCs w:val="16"/>
        </w:rPr>
        <w:t>Ibid</w:t>
      </w:r>
      <w:r w:rsidRPr="00B82FE2">
        <w:rPr>
          <w:szCs w:val="16"/>
        </w:rPr>
        <w:t xml:space="preserve"> s 124(3).</w:t>
      </w:r>
      <w:proofErr w:type="gramEnd"/>
    </w:p>
  </w:footnote>
  <w:footnote w:id="32">
    <w:p w:rsidR="00572DE8" w:rsidRPr="00B82FE2" w:rsidRDefault="00572DE8" w:rsidP="00E273DA">
      <w:pPr>
        <w:pStyle w:val="FootnoteText"/>
        <w:rPr>
          <w:szCs w:val="16"/>
        </w:rPr>
      </w:pPr>
      <w:r w:rsidRPr="00B82FE2">
        <w:rPr>
          <w:rStyle w:val="FootnoteReference"/>
          <w:szCs w:val="16"/>
        </w:rPr>
        <w:footnoteRef/>
      </w:r>
      <w:r w:rsidRPr="00B82FE2">
        <w:rPr>
          <w:szCs w:val="16"/>
        </w:rPr>
        <w:t xml:space="preserve"> </w:t>
      </w:r>
      <w:proofErr w:type="gramStart"/>
      <w:r>
        <w:rPr>
          <w:rFonts w:cs="Arial"/>
          <w:szCs w:val="16"/>
        </w:rPr>
        <w:t>Ibid</w:t>
      </w:r>
      <w:r>
        <w:rPr>
          <w:szCs w:val="16"/>
        </w:rPr>
        <w:t xml:space="preserve"> s</w:t>
      </w:r>
      <w:r w:rsidRPr="00B82FE2">
        <w:rPr>
          <w:szCs w:val="16"/>
        </w:rPr>
        <w:t xml:space="preserve"> 56(i).</w:t>
      </w:r>
      <w:proofErr w:type="gramEnd"/>
    </w:p>
  </w:footnote>
  <w:footnote w:id="33">
    <w:p w:rsidR="00572DE8" w:rsidRPr="00B82FE2" w:rsidRDefault="00572DE8" w:rsidP="00E273DA">
      <w:pPr>
        <w:pStyle w:val="FootnoteText"/>
        <w:rPr>
          <w:rFonts w:cs="Arial"/>
          <w:szCs w:val="16"/>
        </w:rPr>
      </w:pPr>
      <w:r w:rsidRPr="00B82FE2">
        <w:rPr>
          <w:rStyle w:val="FootnoteReference"/>
          <w:rFonts w:cs="Arial"/>
          <w:szCs w:val="16"/>
        </w:rPr>
        <w:footnoteRef/>
      </w:r>
      <w:r w:rsidRPr="00B82FE2">
        <w:rPr>
          <w:rFonts w:cs="Arial"/>
          <w:szCs w:val="16"/>
        </w:rPr>
        <w:t xml:space="preserve"> </w:t>
      </w:r>
      <w:proofErr w:type="gramStart"/>
      <w:r>
        <w:rPr>
          <w:rFonts w:cs="Arial"/>
          <w:szCs w:val="16"/>
        </w:rPr>
        <w:t>Ibid</w:t>
      </w:r>
      <w:r w:rsidRPr="00B82FE2">
        <w:rPr>
          <w:rFonts w:cs="Arial"/>
          <w:szCs w:val="16"/>
        </w:rPr>
        <w:t xml:space="preserve"> s 56(iv).</w:t>
      </w:r>
      <w:proofErr w:type="gramEnd"/>
    </w:p>
  </w:footnote>
  <w:footnote w:id="34">
    <w:p w:rsidR="00572DE8" w:rsidRPr="00B82FE2" w:rsidRDefault="00572DE8" w:rsidP="00E273DA">
      <w:pPr>
        <w:pStyle w:val="FootnoteText"/>
        <w:rPr>
          <w:szCs w:val="16"/>
        </w:rPr>
      </w:pPr>
      <w:r w:rsidRPr="00B82FE2">
        <w:rPr>
          <w:rStyle w:val="FootnoteReference"/>
          <w:szCs w:val="16"/>
        </w:rPr>
        <w:footnoteRef/>
      </w:r>
      <w:r w:rsidRPr="00B82FE2">
        <w:rPr>
          <w:szCs w:val="16"/>
        </w:rPr>
        <w:t xml:space="preserve"> </w:t>
      </w:r>
      <w:proofErr w:type="gramStart"/>
      <w:r>
        <w:rPr>
          <w:rFonts w:cs="Arial"/>
          <w:szCs w:val="16"/>
        </w:rPr>
        <w:t>Ibid</w:t>
      </w:r>
      <w:r w:rsidRPr="00B82FE2">
        <w:rPr>
          <w:szCs w:val="16"/>
        </w:rPr>
        <w:t xml:space="preserve"> s 124(3).</w:t>
      </w:r>
      <w:proofErr w:type="gramEnd"/>
    </w:p>
  </w:footnote>
  <w:footnote w:id="35">
    <w:p w:rsidR="00572DE8" w:rsidRPr="00B82FE2" w:rsidRDefault="00572DE8" w:rsidP="00E273DA">
      <w:pPr>
        <w:pStyle w:val="FootnoteText"/>
        <w:rPr>
          <w:rFonts w:cs="Arial"/>
          <w:szCs w:val="16"/>
        </w:rPr>
      </w:pPr>
      <w:r w:rsidRPr="00B82FE2">
        <w:rPr>
          <w:rStyle w:val="FootnoteReference"/>
          <w:rFonts w:cs="Arial"/>
          <w:szCs w:val="16"/>
        </w:rPr>
        <w:footnoteRef/>
      </w:r>
      <w:r w:rsidRPr="00B82FE2">
        <w:rPr>
          <w:rFonts w:cs="Arial"/>
          <w:szCs w:val="16"/>
        </w:rPr>
        <w:t xml:space="preserve"> </w:t>
      </w:r>
      <w:proofErr w:type="gramStart"/>
      <w:r>
        <w:rPr>
          <w:rFonts w:cs="Arial"/>
          <w:szCs w:val="16"/>
        </w:rPr>
        <w:t>Ibid</w:t>
      </w:r>
      <w:r w:rsidRPr="00B82FE2">
        <w:rPr>
          <w:rFonts w:cs="Arial"/>
          <w:szCs w:val="16"/>
        </w:rPr>
        <w:t xml:space="preserve"> s 57(1), (2).</w:t>
      </w:r>
      <w:proofErr w:type="gramEnd"/>
    </w:p>
  </w:footnote>
  <w:footnote w:id="36">
    <w:p w:rsidR="00572DE8" w:rsidRDefault="00572DE8">
      <w:pPr>
        <w:pStyle w:val="FootnoteText"/>
      </w:pPr>
      <w:r>
        <w:rPr>
          <w:rStyle w:val="FootnoteReference"/>
        </w:rPr>
        <w:footnoteRef/>
      </w:r>
      <w:r>
        <w:t xml:space="preserve"> </w:t>
      </w:r>
      <w:proofErr w:type="gramStart"/>
      <w:r>
        <w:t>Ibid s 17.</w:t>
      </w:r>
      <w:proofErr w:type="gramEnd"/>
    </w:p>
  </w:footnote>
  <w:footnote w:id="37">
    <w:p w:rsidR="00572DE8" w:rsidRDefault="00572DE8">
      <w:pPr>
        <w:pStyle w:val="FootnoteText"/>
      </w:pPr>
      <w:r>
        <w:rPr>
          <w:rStyle w:val="FootnoteReference"/>
        </w:rPr>
        <w:footnoteRef/>
      </w:r>
      <w:r>
        <w:t xml:space="preserve"> </w:t>
      </w:r>
      <w:proofErr w:type="gramStart"/>
      <w:r>
        <w:t>Ibid s 18(1).</w:t>
      </w:r>
      <w:proofErr w:type="gramEnd"/>
    </w:p>
  </w:footnote>
  <w:footnote w:id="38">
    <w:p w:rsidR="00572DE8" w:rsidRDefault="00572DE8" w:rsidP="00E273DA">
      <w:pPr>
        <w:pStyle w:val="FootnoteText"/>
      </w:pPr>
      <w:r>
        <w:rPr>
          <w:rStyle w:val="FootnoteReference"/>
        </w:rPr>
        <w:footnoteRef/>
      </w:r>
      <w:r>
        <w:t xml:space="preserve"> </w:t>
      </w:r>
      <w:proofErr w:type="gramStart"/>
      <w:r>
        <w:t>Ibid s 99.</w:t>
      </w:r>
      <w:proofErr w:type="gramEnd"/>
    </w:p>
  </w:footnote>
  <w:footnote w:id="39">
    <w:p w:rsidR="00572DE8" w:rsidRDefault="00572DE8" w:rsidP="00E273DA">
      <w:pPr>
        <w:pStyle w:val="FootnoteText"/>
      </w:pPr>
      <w:r>
        <w:rPr>
          <w:rStyle w:val="FootnoteReference"/>
        </w:rPr>
        <w:footnoteRef/>
      </w:r>
      <w:r>
        <w:t xml:space="preserve"> </w:t>
      </w:r>
      <w:proofErr w:type="gramStart"/>
      <w:r>
        <w:t>Ibid s 18(1).</w:t>
      </w:r>
      <w:proofErr w:type="gramEnd"/>
    </w:p>
  </w:footnote>
  <w:footnote w:id="40">
    <w:p w:rsidR="00572DE8" w:rsidRDefault="00572DE8" w:rsidP="00E273DA">
      <w:pPr>
        <w:pStyle w:val="FootnoteText"/>
      </w:pPr>
      <w:r>
        <w:rPr>
          <w:rStyle w:val="FootnoteReference"/>
        </w:rPr>
        <w:footnoteRef/>
      </w:r>
      <w:r>
        <w:t xml:space="preserve"> </w:t>
      </w:r>
      <w:proofErr w:type="gramStart"/>
      <w:r>
        <w:rPr>
          <w:rFonts w:cs="Arial"/>
          <w:szCs w:val="16"/>
        </w:rPr>
        <w:t>Ibid</w:t>
      </w:r>
      <w:r>
        <w:t xml:space="preserve"> s 126.</w:t>
      </w:r>
      <w:proofErr w:type="gramEnd"/>
    </w:p>
  </w:footnote>
  <w:footnote w:id="41">
    <w:p w:rsidR="00572DE8" w:rsidRDefault="00572DE8">
      <w:pPr>
        <w:pStyle w:val="FootnoteText"/>
      </w:pPr>
      <w:r>
        <w:rPr>
          <w:rStyle w:val="FootnoteReference"/>
        </w:rPr>
        <w:footnoteRef/>
      </w:r>
      <w:r>
        <w:t xml:space="preserve"> </w:t>
      </w:r>
      <w:r w:rsidRPr="00B82FE2">
        <w:rPr>
          <w:rFonts w:eastAsiaTheme="minorHAnsi"/>
          <w:szCs w:val="16"/>
          <w:lang w:eastAsia="en-US"/>
        </w:rPr>
        <w:t>Rachel Macleod, Interview with Rosamond Bing, Legal Counsel, Ministry of Lands and Natural Resources, Tonga (Telephone, 3 February 2017)</w:t>
      </w:r>
      <w:r>
        <w:rPr>
          <w:rFonts w:eastAsiaTheme="minorHAnsi"/>
          <w:szCs w:val="16"/>
          <w:lang w:eastAsia="en-US"/>
        </w:rPr>
        <w:t>.</w:t>
      </w:r>
    </w:p>
  </w:footnote>
  <w:footnote w:id="42">
    <w:p w:rsidR="00572DE8" w:rsidRDefault="00572DE8">
      <w:pPr>
        <w:pStyle w:val="FootnoteText"/>
      </w:pPr>
      <w:r>
        <w:rPr>
          <w:rStyle w:val="FootnoteReference"/>
        </w:rPr>
        <w:footnoteRef/>
      </w:r>
      <w:r>
        <w:t xml:space="preserve"> </w:t>
      </w:r>
      <w:r>
        <w:rPr>
          <w:rFonts w:eastAsiaTheme="minorHAnsi"/>
          <w:szCs w:val="16"/>
          <w:lang w:eastAsia="en-US"/>
        </w:rPr>
        <w:t>Ibid.</w:t>
      </w:r>
    </w:p>
  </w:footnote>
  <w:footnote w:id="43">
    <w:p w:rsidR="00572DE8" w:rsidRDefault="00572DE8">
      <w:pPr>
        <w:pStyle w:val="FootnoteText"/>
      </w:pPr>
      <w:r>
        <w:rPr>
          <w:rStyle w:val="FootnoteReference"/>
        </w:rPr>
        <w:footnoteRef/>
      </w:r>
      <w:r>
        <w:t xml:space="preserve"> </w:t>
      </w:r>
      <w:r>
        <w:rPr>
          <w:rFonts w:eastAsiaTheme="minorHAnsi"/>
          <w:szCs w:val="16"/>
          <w:lang w:eastAsia="en-US"/>
        </w:rPr>
        <w:t>Ibid.</w:t>
      </w:r>
    </w:p>
  </w:footnote>
  <w:footnote w:id="44">
    <w:p w:rsidR="00572DE8" w:rsidRDefault="00572DE8">
      <w:pPr>
        <w:pStyle w:val="FootnoteText"/>
      </w:pPr>
      <w:r>
        <w:rPr>
          <w:rStyle w:val="FootnoteReference"/>
        </w:rPr>
        <w:footnoteRef/>
      </w:r>
      <w:r>
        <w:t xml:space="preserve"> </w:t>
      </w:r>
      <w:r w:rsidRPr="00595711">
        <w:rPr>
          <w:i/>
        </w:rPr>
        <w:t>Land Act</w:t>
      </w:r>
      <w:r>
        <w:t>, Schedule IV, Form No. 6, Form of Permit.</w:t>
      </w:r>
    </w:p>
  </w:footnote>
  <w:footnote w:id="45">
    <w:p w:rsidR="00572DE8" w:rsidRPr="00CE6058" w:rsidRDefault="00572DE8" w:rsidP="00E273DA">
      <w:pPr>
        <w:pStyle w:val="NormalIndent"/>
        <w:ind w:left="0"/>
        <w:rPr>
          <w:rFonts w:eastAsiaTheme="minorHAnsi"/>
          <w:sz w:val="16"/>
          <w:szCs w:val="16"/>
          <w:lang w:eastAsia="en-US"/>
        </w:rPr>
      </w:pPr>
      <w:r w:rsidRPr="00B82FE2">
        <w:rPr>
          <w:rStyle w:val="FootnoteReference"/>
          <w:sz w:val="16"/>
          <w:szCs w:val="16"/>
        </w:rPr>
        <w:footnoteRef/>
      </w:r>
      <w:r w:rsidRPr="00B82FE2">
        <w:rPr>
          <w:sz w:val="16"/>
          <w:szCs w:val="16"/>
        </w:rPr>
        <w:t xml:space="preserve"> </w:t>
      </w:r>
      <w:r w:rsidRPr="00B82FE2">
        <w:rPr>
          <w:rFonts w:eastAsiaTheme="minorHAnsi"/>
          <w:sz w:val="16"/>
          <w:szCs w:val="16"/>
          <w:lang w:eastAsia="en-US"/>
        </w:rPr>
        <w:t>Rachel Macleod, Interview with Rosamond Bing, Legal Counsel, Ministry of Lands and Natural Resources, Tonga (Telephone, 3 February 2017)</w:t>
      </w:r>
      <w:r>
        <w:rPr>
          <w:rFonts w:eastAsiaTheme="minorHAnsi"/>
          <w:sz w:val="16"/>
          <w:szCs w:val="16"/>
          <w:lang w:eastAsia="en-US"/>
        </w:rPr>
        <w:t>.</w:t>
      </w:r>
    </w:p>
  </w:footnote>
  <w:footnote w:id="46">
    <w:p w:rsidR="00572DE8" w:rsidRDefault="00572DE8">
      <w:pPr>
        <w:pStyle w:val="FootnoteText"/>
      </w:pPr>
      <w:r>
        <w:rPr>
          <w:rStyle w:val="FootnoteReference"/>
        </w:rPr>
        <w:footnoteRef/>
      </w:r>
      <w:r>
        <w:t xml:space="preserve"> The </w:t>
      </w:r>
      <w:r w:rsidRPr="00FA2232">
        <w:rPr>
          <w:i/>
        </w:rPr>
        <w:t>Land Act</w:t>
      </w:r>
      <w:r>
        <w:t xml:space="preserve"> expressly entitles leaseholders to mortgage, transfer and sub-lease their land. There are no equivalent provisions for permit holders: </w:t>
      </w:r>
      <w:r w:rsidRPr="00FA2232">
        <w:t>see</w:t>
      </w:r>
      <w:r>
        <w:t xml:space="preserve">, eg, </w:t>
      </w:r>
      <w:r w:rsidRPr="00FA2232">
        <w:rPr>
          <w:i/>
        </w:rPr>
        <w:t>Land Act</w:t>
      </w:r>
      <w:r>
        <w:t>, Part VI, 'Mortgages'.</w:t>
      </w:r>
    </w:p>
  </w:footnote>
  <w:footnote w:id="47">
    <w:p w:rsidR="00572DE8" w:rsidRDefault="00572DE8">
      <w:pPr>
        <w:pStyle w:val="FootnoteText"/>
      </w:pPr>
      <w:r>
        <w:rPr>
          <w:rStyle w:val="FootnoteReference"/>
        </w:rPr>
        <w:footnoteRef/>
      </w:r>
      <w:r>
        <w:t xml:space="preserve"> </w:t>
      </w:r>
      <w:r w:rsidRPr="00B82FE2">
        <w:rPr>
          <w:rFonts w:eastAsiaTheme="minorHAnsi"/>
          <w:szCs w:val="16"/>
          <w:lang w:eastAsia="en-US"/>
        </w:rPr>
        <w:t>Rachel Macleod, Interview with Rosamond Bing, Legal Counsel, Ministry of Lands and Natural Resources, Tonga (Telephone, 3 February 2017)</w:t>
      </w:r>
      <w:r>
        <w:rPr>
          <w:rFonts w:eastAsiaTheme="minorHAnsi"/>
          <w:szCs w:val="16"/>
          <w:lang w:eastAsia="en-US"/>
        </w:rPr>
        <w:t>.</w:t>
      </w:r>
    </w:p>
  </w:footnote>
  <w:footnote w:id="48">
    <w:p w:rsidR="00572DE8" w:rsidRDefault="00572DE8" w:rsidP="00E273DA">
      <w:pPr>
        <w:pStyle w:val="FootnoteText"/>
      </w:pPr>
      <w:r>
        <w:rPr>
          <w:rStyle w:val="FootnoteReference"/>
        </w:rPr>
        <w:footnoteRef/>
      </w:r>
      <w:r>
        <w:t xml:space="preserve"> </w:t>
      </w:r>
      <w:proofErr w:type="gramStart"/>
      <w:r w:rsidRPr="00C10E58">
        <w:rPr>
          <w:rFonts w:cs="Arial"/>
          <w:i/>
          <w:szCs w:val="16"/>
        </w:rPr>
        <w:t>Land Act</w:t>
      </w:r>
      <w:r>
        <w:rPr>
          <w:rFonts w:cs="Arial"/>
          <w:szCs w:val="16"/>
        </w:rPr>
        <w:t xml:space="preserve"> </w:t>
      </w:r>
      <w:r>
        <w:t>s 52(1).</w:t>
      </w:r>
      <w:proofErr w:type="gramEnd"/>
    </w:p>
  </w:footnote>
  <w:footnote w:id="49">
    <w:p w:rsidR="00572DE8" w:rsidRDefault="00572DE8" w:rsidP="00E273DA">
      <w:pPr>
        <w:pStyle w:val="FootnoteText"/>
      </w:pPr>
      <w:r>
        <w:rPr>
          <w:rStyle w:val="FootnoteReference"/>
        </w:rPr>
        <w:footnoteRef/>
      </w:r>
      <w:r>
        <w:t xml:space="preserve"> </w:t>
      </w:r>
      <w:proofErr w:type="gramStart"/>
      <w:r>
        <w:t>Ibid s 52(3), (4).</w:t>
      </w:r>
      <w:proofErr w:type="gramEnd"/>
    </w:p>
  </w:footnote>
  <w:footnote w:id="50">
    <w:p w:rsidR="00572DE8" w:rsidRDefault="00572DE8" w:rsidP="00E273DA">
      <w:pPr>
        <w:pStyle w:val="FootnoteText"/>
      </w:pPr>
      <w:r>
        <w:rPr>
          <w:rStyle w:val="FootnoteReference"/>
        </w:rPr>
        <w:footnoteRef/>
      </w:r>
      <w:r>
        <w:t xml:space="preserve"> </w:t>
      </w:r>
      <w:proofErr w:type="gramStart"/>
      <w:r>
        <w:t>Ibid s 52(1).</w:t>
      </w:r>
      <w:proofErr w:type="gramEnd"/>
    </w:p>
  </w:footnote>
  <w:footnote w:id="51">
    <w:p w:rsidR="00572DE8" w:rsidRDefault="00572DE8" w:rsidP="00E273DA">
      <w:pPr>
        <w:pStyle w:val="FootnoteText"/>
      </w:pPr>
      <w:r>
        <w:rPr>
          <w:rStyle w:val="FootnoteReference"/>
        </w:rPr>
        <w:footnoteRef/>
      </w:r>
      <w:r>
        <w:t xml:space="preserve"> The information in this section was obtained from the following source: </w:t>
      </w:r>
      <w:r w:rsidRPr="00B82FE2">
        <w:rPr>
          <w:rFonts w:eastAsiaTheme="minorHAnsi"/>
          <w:szCs w:val="16"/>
          <w:lang w:eastAsia="en-US"/>
        </w:rPr>
        <w:t>Rachel Macleod, Interview with Rosamond Bing, Legal Counsel, Ministry of Lands and Natural Resources, Tonga (Telephone, 3 February 2017)</w:t>
      </w:r>
      <w:r>
        <w:rPr>
          <w:rFonts w:eastAsiaTheme="minorHAnsi"/>
          <w:szCs w:val="16"/>
          <w:lang w:eastAsia="en-US"/>
        </w:rPr>
        <w:t>.</w:t>
      </w:r>
    </w:p>
  </w:footnote>
  <w:footnote w:id="52">
    <w:p w:rsidR="00572DE8" w:rsidRDefault="00572DE8">
      <w:pPr>
        <w:pStyle w:val="FootnoteText"/>
      </w:pPr>
      <w:r>
        <w:rPr>
          <w:rStyle w:val="FootnoteReference"/>
        </w:rPr>
        <w:footnoteRef/>
      </w:r>
      <w:r>
        <w:t xml:space="preserve"> </w:t>
      </w:r>
      <w:proofErr w:type="gramStart"/>
      <w:r w:rsidRPr="0029111B">
        <w:rPr>
          <w:i/>
        </w:rPr>
        <w:t xml:space="preserve">Yang v </w:t>
      </w:r>
      <w:proofErr w:type="spellStart"/>
      <w:r w:rsidRPr="0029111B">
        <w:rPr>
          <w:i/>
        </w:rPr>
        <w:t>Manoa</w:t>
      </w:r>
      <w:proofErr w:type="spellEnd"/>
      <w:r w:rsidRPr="0029111B">
        <w:rPr>
          <w:i/>
        </w:rPr>
        <w:t xml:space="preserve"> </w:t>
      </w:r>
      <w:r>
        <w:t xml:space="preserve">(Court of Appeal of Tonga, 8 April 2016) </w:t>
      </w:r>
      <w:r w:rsidRPr="003F3C86">
        <w:rPr>
          <w:bCs/>
        </w:rPr>
        <w:t>AC 22/2015</w:t>
      </w:r>
      <w:r>
        <w:rPr>
          <w:bCs/>
        </w:rPr>
        <w:t xml:space="preserve"> </w:t>
      </w:r>
      <w:r>
        <w:t>[16].</w:t>
      </w:r>
      <w:proofErr w:type="gramEnd"/>
    </w:p>
  </w:footnote>
  <w:footnote w:id="53">
    <w:p w:rsidR="00572DE8" w:rsidRDefault="00572DE8">
      <w:pPr>
        <w:pStyle w:val="FootnoteText"/>
      </w:pPr>
      <w:r>
        <w:rPr>
          <w:rStyle w:val="FootnoteReference"/>
        </w:rPr>
        <w:footnoteRef/>
      </w:r>
      <w:r>
        <w:t xml:space="preserve"> </w:t>
      </w:r>
      <w:proofErr w:type="gramStart"/>
      <w:r w:rsidRPr="0029111B">
        <w:rPr>
          <w:i/>
        </w:rPr>
        <w:t xml:space="preserve">Yang v </w:t>
      </w:r>
      <w:proofErr w:type="spellStart"/>
      <w:r w:rsidRPr="0029111B">
        <w:rPr>
          <w:i/>
        </w:rPr>
        <w:t>Manoa</w:t>
      </w:r>
      <w:proofErr w:type="spellEnd"/>
      <w:r w:rsidRPr="0029111B">
        <w:rPr>
          <w:i/>
        </w:rPr>
        <w:t xml:space="preserve"> </w:t>
      </w:r>
      <w:r>
        <w:t>(Court of Appeal of Tonga, 8 April 2016) [23].</w:t>
      </w:r>
      <w:proofErr w:type="gramEnd"/>
    </w:p>
  </w:footnote>
  <w:footnote w:id="54">
    <w:p w:rsidR="00572DE8" w:rsidRDefault="00572DE8">
      <w:pPr>
        <w:pStyle w:val="FootnoteText"/>
      </w:pPr>
      <w:r>
        <w:rPr>
          <w:rStyle w:val="FootnoteReference"/>
        </w:rPr>
        <w:footnoteRef/>
      </w:r>
      <w:r>
        <w:t xml:space="preserve"> </w:t>
      </w:r>
      <w:proofErr w:type="gramStart"/>
      <w:r>
        <w:t>Ibid [20].</w:t>
      </w:r>
      <w:proofErr w:type="gramEnd"/>
    </w:p>
  </w:footnote>
  <w:footnote w:id="55">
    <w:p w:rsidR="00572DE8" w:rsidRDefault="00572DE8">
      <w:pPr>
        <w:pStyle w:val="FootnoteText"/>
      </w:pPr>
      <w:r>
        <w:rPr>
          <w:rStyle w:val="FootnoteReference"/>
        </w:rPr>
        <w:footnoteRef/>
      </w:r>
      <w:r>
        <w:t xml:space="preserve"> </w:t>
      </w:r>
      <w:r w:rsidRPr="001107E7">
        <w:t>Rachel Macleod, Interview with Rosamond Bing, Legal Counsel, Ministry of Lands and Natural Resources, Tonga (Telephone, 12 March 2017)</w:t>
      </w:r>
      <w:r>
        <w:t>.</w:t>
      </w:r>
    </w:p>
  </w:footnote>
  <w:footnote w:id="56">
    <w:p w:rsidR="00572DE8" w:rsidRDefault="00572DE8">
      <w:pPr>
        <w:pStyle w:val="FootnoteText"/>
      </w:pPr>
      <w:r>
        <w:rPr>
          <w:rStyle w:val="FootnoteReference"/>
        </w:rPr>
        <w:footnoteRef/>
      </w:r>
      <w:r>
        <w:t xml:space="preserve"> Ibid.</w:t>
      </w:r>
    </w:p>
  </w:footnote>
  <w:footnote w:id="57">
    <w:p w:rsidR="00572DE8" w:rsidRDefault="00572DE8">
      <w:pPr>
        <w:pStyle w:val="FootnoteText"/>
      </w:pPr>
      <w:r>
        <w:rPr>
          <w:rStyle w:val="FootnoteReference"/>
        </w:rPr>
        <w:footnoteRef/>
      </w:r>
      <w:r>
        <w:t xml:space="preserve"> Ibid.</w:t>
      </w:r>
    </w:p>
  </w:footnote>
  <w:footnote w:id="58">
    <w:p w:rsidR="00572DE8" w:rsidRDefault="00572DE8">
      <w:pPr>
        <w:pStyle w:val="FootnoteText"/>
      </w:pPr>
      <w:r>
        <w:rPr>
          <w:rStyle w:val="FootnoteReference"/>
        </w:rPr>
        <w:footnoteRef/>
      </w:r>
      <w:r>
        <w:t xml:space="preserve"> Ibid.</w:t>
      </w:r>
    </w:p>
  </w:footnote>
  <w:footnote w:id="59">
    <w:p w:rsidR="00572DE8" w:rsidRDefault="00572DE8">
      <w:pPr>
        <w:pStyle w:val="FootnoteText"/>
      </w:pPr>
      <w:r>
        <w:rPr>
          <w:rStyle w:val="FootnoteReference"/>
        </w:rPr>
        <w:footnoteRef/>
      </w:r>
      <w:r>
        <w:t xml:space="preserve"> Ibid.</w:t>
      </w:r>
    </w:p>
  </w:footnote>
  <w:footnote w:id="60">
    <w:p w:rsidR="00572DE8" w:rsidRDefault="00572DE8">
      <w:pPr>
        <w:pStyle w:val="FootnoteText"/>
      </w:pPr>
      <w:r>
        <w:rPr>
          <w:rStyle w:val="FootnoteReference"/>
        </w:rPr>
        <w:footnoteRef/>
      </w:r>
      <w:r>
        <w:t xml:space="preserve"> Ibid.</w:t>
      </w:r>
    </w:p>
  </w:footnote>
  <w:footnote w:id="61">
    <w:p w:rsidR="00572DE8" w:rsidRDefault="00572DE8" w:rsidP="00E273DA">
      <w:pPr>
        <w:pStyle w:val="FootnoteText"/>
      </w:pPr>
      <w:r>
        <w:rPr>
          <w:rStyle w:val="FootnoteReference"/>
        </w:rPr>
        <w:footnoteRef/>
      </w:r>
      <w:r>
        <w:t xml:space="preserve"> </w:t>
      </w:r>
      <w:proofErr w:type="gramStart"/>
      <w:r w:rsidRPr="00885E37">
        <w:rPr>
          <w:i/>
        </w:rPr>
        <w:t>Land Act</w:t>
      </w:r>
      <w:r>
        <w:t xml:space="preserve"> s 41(h); </w:t>
      </w:r>
      <w:r w:rsidRPr="00E12B62">
        <w:rPr>
          <w:i/>
        </w:rPr>
        <w:t>Constitution</w:t>
      </w:r>
      <w:r>
        <w:t xml:space="preserve"> s 112.</w:t>
      </w:r>
      <w:proofErr w:type="gramEnd"/>
      <w:r>
        <w:t xml:space="preserve"> It is extremely uncommon for land to revert to the Crown; this has only </w:t>
      </w:r>
      <w:proofErr w:type="gramStart"/>
      <w:r>
        <w:t>occurred</w:t>
      </w:r>
      <w:proofErr w:type="gramEnd"/>
      <w:r>
        <w:t xml:space="preserve"> a couple of times since the Commencement of the Land Act.</w:t>
      </w:r>
    </w:p>
  </w:footnote>
  <w:footnote w:id="62">
    <w:p w:rsidR="00572DE8" w:rsidRDefault="00572DE8" w:rsidP="00E273DA">
      <w:pPr>
        <w:pStyle w:val="FootnoteText"/>
      </w:pPr>
      <w:r>
        <w:rPr>
          <w:rStyle w:val="FootnoteReference"/>
        </w:rPr>
        <w:footnoteRef/>
      </w:r>
      <w:r>
        <w:t xml:space="preserve"> </w:t>
      </w:r>
      <w:proofErr w:type="gramStart"/>
      <w:r w:rsidRPr="00E12B62">
        <w:rPr>
          <w:i/>
        </w:rPr>
        <w:t>Constitution</w:t>
      </w:r>
      <w:r>
        <w:t xml:space="preserve"> s 111.</w:t>
      </w:r>
      <w:proofErr w:type="gramEnd"/>
    </w:p>
  </w:footnote>
  <w:footnote w:id="63">
    <w:p w:rsidR="00572DE8" w:rsidRDefault="00572DE8">
      <w:pPr>
        <w:pStyle w:val="FootnoteText"/>
      </w:pPr>
      <w:r>
        <w:rPr>
          <w:rStyle w:val="FootnoteReference"/>
        </w:rPr>
        <w:footnoteRef/>
      </w:r>
      <w:r>
        <w:t xml:space="preserve"> </w:t>
      </w:r>
      <w:proofErr w:type="gramStart"/>
      <w:r w:rsidRPr="00E12B62">
        <w:rPr>
          <w:i/>
        </w:rPr>
        <w:t>Land Act</w:t>
      </w:r>
      <w:r>
        <w:t xml:space="preserve"> s 82(d).</w:t>
      </w:r>
      <w:proofErr w:type="gramEnd"/>
    </w:p>
  </w:footnote>
  <w:footnote w:id="64">
    <w:p w:rsidR="00572DE8" w:rsidRDefault="00572DE8">
      <w:pPr>
        <w:pStyle w:val="FootnoteText"/>
      </w:pPr>
      <w:r>
        <w:rPr>
          <w:rStyle w:val="FootnoteReference"/>
        </w:rPr>
        <w:footnoteRef/>
      </w:r>
      <w:r>
        <w:t xml:space="preserve"> </w:t>
      </w:r>
      <w:proofErr w:type="gramStart"/>
      <w:r>
        <w:t>Ibid s 82(d).</w:t>
      </w:r>
      <w:proofErr w:type="gramEnd"/>
    </w:p>
  </w:footnote>
  <w:footnote w:id="65">
    <w:p w:rsidR="00572DE8" w:rsidRDefault="00572DE8" w:rsidP="00E273DA">
      <w:pPr>
        <w:pStyle w:val="FootnoteText"/>
      </w:pPr>
      <w:r>
        <w:rPr>
          <w:rStyle w:val="FootnoteReference"/>
        </w:rPr>
        <w:footnoteRef/>
      </w:r>
      <w:r>
        <w:t xml:space="preserve"> </w:t>
      </w:r>
      <w:proofErr w:type="gramStart"/>
      <w:r>
        <w:t>Ibid s 80.</w:t>
      </w:r>
      <w:proofErr w:type="gramEnd"/>
    </w:p>
  </w:footnote>
  <w:footnote w:id="66">
    <w:p w:rsidR="00572DE8" w:rsidRDefault="00572DE8">
      <w:pPr>
        <w:pStyle w:val="FootnoteText"/>
      </w:pPr>
      <w:r>
        <w:rPr>
          <w:rStyle w:val="FootnoteReference"/>
        </w:rPr>
        <w:footnoteRef/>
      </w:r>
      <w:r>
        <w:t xml:space="preserve"> Ibid ss 89, 100(1</w:t>
      </w:r>
      <w:proofErr w:type="gramStart"/>
      <w:r>
        <w:t>)(</w:t>
      </w:r>
      <w:proofErr w:type="gramEnd"/>
      <w:r>
        <w:t>ii).</w:t>
      </w:r>
    </w:p>
  </w:footnote>
  <w:footnote w:id="67">
    <w:p w:rsidR="00572DE8" w:rsidRDefault="00572DE8" w:rsidP="00E273DA">
      <w:pPr>
        <w:pStyle w:val="FootnoteText"/>
      </w:pPr>
      <w:r>
        <w:rPr>
          <w:rStyle w:val="FootnoteReference"/>
        </w:rPr>
        <w:footnoteRef/>
      </w:r>
      <w:r>
        <w:t xml:space="preserve"> </w:t>
      </w:r>
      <w:proofErr w:type="gramStart"/>
      <w:r>
        <w:t>Ibid s 80, 82(d).</w:t>
      </w:r>
      <w:proofErr w:type="gramEnd"/>
    </w:p>
  </w:footnote>
  <w:footnote w:id="68">
    <w:p w:rsidR="00572DE8" w:rsidRDefault="00572DE8" w:rsidP="00E273DA">
      <w:pPr>
        <w:pStyle w:val="FootnoteText"/>
      </w:pPr>
      <w:r>
        <w:rPr>
          <w:rStyle w:val="FootnoteReference"/>
        </w:rPr>
        <w:footnoteRef/>
      </w:r>
      <w:r>
        <w:t xml:space="preserve"> </w:t>
      </w:r>
      <w:proofErr w:type="gramStart"/>
      <w:r>
        <w:t>Ibid s 80, 82(d).</w:t>
      </w:r>
      <w:proofErr w:type="gramEnd"/>
    </w:p>
  </w:footnote>
  <w:footnote w:id="69">
    <w:p w:rsidR="00572DE8" w:rsidRDefault="00572DE8">
      <w:pPr>
        <w:pStyle w:val="FootnoteText"/>
      </w:pPr>
      <w:r>
        <w:rPr>
          <w:rStyle w:val="FootnoteReference"/>
        </w:rPr>
        <w:footnoteRef/>
      </w:r>
      <w:r>
        <w:t xml:space="preserve"> </w:t>
      </w:r>
      <w:proofErr w:type="gramStart"/>
      <w:r>
        <w:t>Ibid s 83.</w:t>
      </w:r>
      <w:proofErr w:type="gramEnd"/>
    </w:p>
  </w:footnote>
  <w:footnote w:id="70">
    <w:p w:rsidR="00572DE8" w:rsidRPr="00C2702F" w:rsidRDefault="00572DE8">
      <w:pPr>
        <w:pStyle w:val="FootnoteText"/>
        <w:rPr>
          <w:rFonts w:cs="Arial"/>
          <w:szCs w:val="16"/>
        </w:rPr>
      </w:pPr>
      <w:r w:rsidRPr="00C2702F">
        <w:rPr>
          <w:rStyle w:val="FootnoteReference"/>
          <w:rFonts w:cs="Arial"/>
          <w:szCs w:val="16"/>
        </w:rPr>
        <w:footnoteRef/>
      </w:r>
      <w:r w:rsidRPr="00C2702F">
        <w:rPr>
          <w:rFonts w:cs="Arial"/>
          <w:szCs w:val="16"/>
        </w:rPr>
        <w:t xml:space="preserve"> </w:t>
      </w:r>
      <w:proofErr w:type="gramStart"/>
      <w:r>
        <w:rPr>
          <w:rFonts w:cs="Arial"/>
          <w:szCs w:val="16"/>
        </w:rPr>
        <w:t>Ibid</w:t>
      </w:r>
      <w:r w:rsidRPr="00C2702F">
        <w:rPr>
          <w:rFonts w:cs="Arial"/>
          <w:szCs w:val="16"/>
        </w:rPr>
        <w:t xml:space="preserve"> s 37.</w:t>
      </w:r>
      <w:proofErr w:type="gramEnd"/>
    </w:p>
  </w:footnote>
  <w:footnote w:id="71">
    <w:p w:rsidR="00572DE8" w:rsidRDefault="00572DE8">
      <w:pPr>
        <w:pStyle w:val="FootnoteText"/>
      </w:pPr>
      <w:r>
        <w:rPr>
          <w:rStyle w:val="FootnoteReference"/>
        </w:rPr>
        <w:footnoteRef/>
      </w:r>
      <w:r>
        <w:t xml:space="preserve"> </w:t>
      </w:r>
      <w:proofErr w:type="gramStart"/>
      <w:r>
        <w:t>Ibid s 68.</w:t>
      </w:r>
      <w:proofErr w:type="gramEnd"/>
    </w:p>
  </w:footnote>
  <w:footnote w:id="72">
    <w:p w:rsidR="00572DE8" w:rsidRDefault="00572DE8">
      <w:pPr>
        <w:pStyle w:val="FootnoteText"/>
      </w:pPr>
      <w:r>
        <w:rPr>
          <w:rStyle w:val="FootnoteReference"/>
        </w:rPr>
        <w:footnoteRef/>
      </w:r>
      <w:r>
        <w:t xml:space="preserve"> </w:t>
      </w:r>
      <w:proofErr w:type="gramStart"/>
      <w:r>
        <w:t>Ibid s 32.</w:t>
      </w:r>
      <w:proofErr w:type="gramEnd"/>
    </w:p>
  </w:footnote>
  <w:footnote w:id="73">
    <w:p w:rsidR="00572DE8" w:rsidRDefault="00572DE8" w:rsidP="00E273DA">
      <w:pPr>
        <w:pStyle w:val="FootnoteText"/>
      </w:pPr>
      <w:r>
        <w:rPr>
          <w:rStyle w:val="FootnoteReference"/>
        </w:rPr>
        <w:footnoteRef/>
      </w:r>
      <w:r>
        <w:t xml:space="preserve"> Ibid, Schedule IX</w:t>
      </w:r>
      <w:proofErr w:type="gramStart"/>
      <w:r>
        <w:t>,  'Form</w:t>
      </w:r>
      <w:proofErr w:type="gramEnd"/>
      <w:r>
        <w:t xml:space="preserve"> of Lease'.</w:t>
      </w:r>
    </w:p>
  </w:footnote>
  <w:footnote w:id="74">
    <w:p w:rsidR="00572DE8" w:rsidRDefault="00572DE8">
      <w:pPr>
        <w:pStyle w:val="FootnoteText"/>
      </w:pPr>
      <w:r>
        <w:rPr>
          <w:rStyle w:val="FootnoteReference"/>
        </w:rPr>
        <w:footnoteRef/>
      </w:r>
      <w:r>
        <w:t xml:space="preserve"> Ibid.</w:t>
      </w:r>
    </w:p>
  </w:footnote>
  <w:footnote w:id="75">
    <w:p w:rsidR="00572DE8" w:rsidRDefault="00572DE8">
      <w:pPr>
        <w:pStyle w:val="FootnoteText"/>
      </w:pPr>
      <w:r>
        <w:rPr>
          <w:rStyle w:val="FootnoteReference"/>
        </w:rPr>
        <w:footnoteRef/>
      </w:r>
      <w:r>
        <w:t xml:space="preserve"> </w:t>
      </w:r>
      <w:r w:rsidRPr="00B82FE2">
        <w:rPr>
          <w:rFonts w:eastAsiaTheme="minorHAnsi"/>
          <w:szCs w:val="16"/>
          <w:lang w:eastAsia="en-US"/>
        </w:rPr>
        <w:t>Rachel Macleod, Interview with Rosamond Bing, Legal Counsel, Ministry of Lands and Natural Resources, Tonga (Telephone, 3 February 2017)</w:t>
      </w:r>
      <w:r>
        <w:rPr>
          <w:rFonts w:eastAsiaTheme="minorHAnsi"/>
          <w:szCs w:val="16"/>
          <w:lang w:eastAsia="en-US"/>
        </w:rPr>
        <w:t>.</w:t>
      </w:r>
    </w:p>
  </w:footnote>
  <w:footnote w:id="76">
    <w:p w:rsidR="00572DE8" w:rsidRDefault="00572DE8">
      <w:pPr>
        <w:pStyle w:val="FootnoteText"/>
      </w:pPr>
      <w:r>
        <w:rPr>
          <w:rStyle w:val="FootnoteReference"/>
        </w:rPr>
        <w:footnoteRef/>
      </w:r>
      <w:r>
        <w:t xml:space="preserve"> </w:t>
      </w:r>
      <w:r>
        <w:rPr>
          <w:rFonts w:eastAsiaTheme="minorHAnsi"/>
          <w:szCs w:val="16"/>
          <w:lang w:eastAsia="en-US"/>
        </w:rPr>
        <w:t>Ibid.</w:t>
      </w:r>
    </w:p>
  </w:footnote>
  <w:footnote w:id="77">
    <w:p w:rsidR="00572DE8" w:rsidRDefault="00572DE8">
      <w:pPr>
        <w:pStyle w:val="FootnoteText"/>
      </w:pPr>
      <w:r>
        <w:rPr>
          <w:rStyle w:val="FootnoteReference"/>
        </w:rPr>
        <w:footnoteRef/>
      </w:r>
      <w:r>
        <w:t xml:space="preserve"> </w:t>
      </w:r>
      <w:r>
        <w:rPr>
          <w:rFonts w:eastAsiaTheme="minorHAnsi"/>
          <w:szCs w:val="16"/>
          <w:lang w:eastAsia="en-US"/>
        </w:rPr>
        <w:t>Ibid.</w:t>
      </w:r>
    </w:p>
  </w:footnote>
  <w:footnote w:id="78">
    <w:p w:rsidR="00572DE8" w:rsidRPr="004F5BD7" w:rsidRDefault="00572DE8" w:rsidP="00E273DA">
      <w:pPr>
        <w:pStyle w:val="FootnoteText"/>
        <w:rPr>
          <w:szCs w:val="16"/>
        </w:rPr>
      </w:pPr>
      <w:r w:rsidRPr="004F5BD7">
        <w:rPr>
          <w:rStyle w:val="FootnoteReference"/>
          <w:szCs w:val="16"/>
        </w:rPr>
        <w:footnoteRef/>
      </w:r>
      <w:r w:rsidRPr="004F5BD7">
        <w:rPr>
          <w:szCs w:val="16"/>
        </w:rPr>
        <w:t xml:space="preserve"> </w:t>
      </w:r>
      <w:proofErr w:type="gramStart"/>
      <w:r w:rsidRPr="004F5BD7">
        <w:rPr>
          <w:i/>
          <w:szCs w:val="16"/>
        </w:rPr>
        <w:t>Constitution</w:t>
      </w:r>
      <w:r w:rsidRPr="004F5BD7">
        <w:rPr>
          <w:szCs w:val="16"/>
        </w:rPr>
        <w:t xml:space="preserve"> s 110; </w:t>
      </w:r>
      <w:r w:rsidRPr="004F5BD7">
        <w:rPr>
          <w:i/>
          <w:szCs w:val="16"/>
        </w:rPr>
        <w:t>Land Act</w:t>
      </w:r>
      <w:r w:rsidRPr="004F5BD7">
        <w:rPr>
          <w:szCs w:val="16"/>
        </w:rPr>
        <w:t xml:space="preserve"> s 126.</w:t>
      </w:r>
      <w:proofErr w:type="gramEnd"/>
      <w:r w:rsidRPr="004F5BD7">
        <w:rPr>
          <w:szCs w:val="16"/>
        </w:rPr>
        <w:t xml:space="preserve"> Section 110 of the </w:t>
      </w:r>
      <w:r w:rsidRPr="004F5BD7">
        <w:rPr>
          <w:i/>
          <w:szCs w:val="16"/>
        </w:rPr>
        <w:t>Constitution</w:t>
      </w:r>
      <w:r w:rsidRPr="004F5BD7">
        <w:rPr>
          <w:szCs w:val="16"/>
        </w:rPr>
        <w:t xml:space="preserve"> provides that no lease or transfer will be considered valid or recognised by the Government unless registered in the office of the Minister of Lands. Section 126 of the </w:t>
      </w:r>
      <w:r w:rsidRPr="004F5BD7">
        <w:rPr>
          <w:i/>
          <w:szCs w:val="16"/>
        </w:rPr>
        <w:t>Land Act</w:t>
      </w:r>
      <w:r w:rsidRPr="004F5BD7">
        <w:rPr>
          <w:szCs w:val="16"/>
        </w:rPr>
        <w:t xml:space="preserve"> provides that no lease, sub-lease, transfer or permit is effective to pass or affect an interest in land until it is registered.</w:t>
      </w:r>
    </w:p>
  </w:footnote>
  <w:footnote w:id="79">
    <w:p w:rsidR="00572DE8" w:rsidRPr="004F5BD7" w:rsidRDefault="00572DE8" w:rsidP="00E273DA">
      <w:pPr>
        <w:pStyle w:val="FootnoteText"/>
        <w:rPr>
          <w:szCs w:val="16"/>
        </w:rPr>
      </w:pPr>
      <w:r w:rsidRPr="004F5BD7">
        <w:rPr>
          <w:rStyle w:val="FootnoteReference"/>
          <w:szCs w:val="16"/>
        </w:rPr>
        <w:footnoteRef/>
      </w:r>
      <w:r w:rsidRPr="004F5BD7">
        <w:rPr>
          <w:szCs w:val="16"/>
        </w:rPr>
        <w:t xml:space="preserve"> See, </w:t>
      </w:r>
      <w:proofErr w:type="spellStart"/>
      <w:r w:rsidRPr="004F5BD7">
        <w:rPr>
          <w:szCs w:val="16"/>
        </w:rPr>
        <w:t>eg</w:t>
      </w:r>
      <w:proofErr w:type="spellEnd"/>
      <w:r w:rsidRPr="004F5BD7">
        <w:rPr>
          <w:szCs w:val="16"/>
        </w:rPr>
        <w:t xml:space="preserve">, </w:t>
      </w:r>
      <w:r w:rsidRPr="004F5BD7">
        <w:rPr>
          <w:bCs/>
          <w:i/>
          <w:szCs w:val="16"/>
        </w:rPr>
        <w:t>Manu v '</w:t>
      </w:r>
      <w:proofErr w:type="spellStart"/>
      <w:r w:rsidRPr="004F5BD7">
        <w:rPr>
          <w:bCs/>
          <w:i/>
          <w:szCs w:val="16"/>
        </w:rPr>
        <w:t>Aholelei</w:t>
      </w:r>
      <w:proofErr w:type="spellEnd"/>
      <w:r w:rsidRPr="004F5BD7">
        <w:rPr>
          <w:bCs/>
          <w:szCs w:val="16"/>
        </w:rPr>
        <w:t xml:space="preserve"> (Land Court of Tonga, 17 April 2015) LA 13/2014</w:t>
      </w:r>
      <w:r w:rsidRPr="004F5BD7">
        <w:rPr>
          <w:szCs w:val="16"/>
        </w:rPr>
        <w:t xml:space="preserve"> [33]–[36].</w:t>
      </w:r>
    </w:p>
  </w:footnote>
  <w:footnote w:id="80">
    <w:p w:rsidR="00572DE8" w:rsidRPr="004F5BD7" w:rsidRDefault="00572DE8" w:rsidP="00E273DA">
      <w:pPr>
        <w:pStyle w:val="FootnoteText"/>
        <w:rPr>
          <w:rFonts w:cs="Arial"/>
          <w:szCs w:val="16"/>
        </w:rPr>
      </w:pPr>
      <w:r w:rsidRPr="004F5BD7">
        <w:rPr>
          <w:rStyle w:val="FootnoteReference"/>
          <w:rFonts w:cs="Arial"/>
          <w:szCs w:val="16"/>
        </w:rPr>
        <w:footnoteRef/>
      </w:r>
      <w:r w:rsidRPr="004F5BD7">
        <w:rPr>
          <w:rFonts w:cs="Arial"/>
          <w:szCs w:val="16"/>
        </w:rPr>
        <w:t xml:space="preserve"> </w:t>
      </w:r>
      <w:proofErr w:type="gramStart"/>
      <w:r w:rsidRPr="00E12B62">
        <w:rPr>
          <w:rFonts w:cs="Arial"/>
          <w:i/>
          <w:szCs w:val="16"/>
        </w:rPr>
        <w:t>Land Act</w:t>
      </w:r>
      <w:r w:rsidRPr="004F5BD7">
        <w:rPr>
          <w:rFonts w:cs="Arial"/>
          <w:szCs w:val="16"/>
        </w:rPr>
        <w:t xml:space="preserve"> s 116.</w:t>
      </w:r>
      <w:proofErr w:type="gramEnd"/>
    </w:p>
  </w:footnote>
  <w:footnote w:id="81">
    <w:p w:rsidR="00572DE8" w:rsidRPr="00642D71" w:rsidRDefault="00572DE8" w:rsidP="00E273DA">
      <w:pPr>
        <w:pStyle w:val="FootnoteText"/>
        <w:rPr>
          <w:rFonts w:cs="Arial"/>
          <w:szCs w:val="16"/>
        </w:rPr>
      </w:pPr>
      <w:r w:rsidRPr="004F5BD7">
        <w:rPr>
          <w:rStyle w:val="FootnoteReference"/>
          <w:rFonts w:cs="Arial"/>
          <w:szCs w:val="16"/>
        </w:rPr>
        <w:footnoteRef/>
      </w:r>
      <w:r w:rsidRPr="004F5BD7">
        <w:rPr>
          <w:rFonts w:cs="Arial"/>
          <w:szCs w:val="16"/>
        </w:rPr>
        <w:t xml:space="preserve"> </w:t>
      </w:r>
      <w:proofErr w:type="gramStart"/>
      <w:r>
        <w:rPr>
          <w:rFonts w:cs="Arial"/>
          <w:szCs w:val="16"/>
        </w:rPr>
        <w:t>Ibid</w:t>
      </w:r>
      <w:r w:rsidRPr="004F5BD7">
        <w:rPr>
          <w:rFonts w:cs="Arial"/>
          <w:szCs w:val="16"/>
        </w:rPr>
        <w:t xml:space="preserve"> s 118.</w:t>
      </w:r>
      <w:proofErr w:type="gramEnd"/>
    </w:p>
  </w:footnote>
  <w:footnote w:id="82">
    <w:p w:rsidR="00572DE8" w:rsidRPr="00642D71" w:rsidRDefault="00572DE8" w:rsidP="00E273DA">
      <w:pPr>
        <w:pStyle w:val="FootnoteText"/>
        <w:rPr>
          <w:rFonts w:cs="Arial"/>
          <w:szCs w:val="16"/>
        </w:rPr>
      </w:pPr>
      <w:r w:rsidRPr="00642D71">
        <w:rPr>
          <w:rStyle w:val="FootnoteReference"/>
          <w:rFonts w:cs="Arial"/>
          <w:szCs w:val="16"/>
        </w:rPr>
        <w:footnoteRef/>
      </w:r>
      <w:r w:rsidRPr="00642D71">
        <w:rPr>
          <w:rFonts w:cs="Arial"/>
          <w:szCs w:val="16"/>
        </w:rPr>
        <w:t xml:space="preserve"> </w:t>
      </w:r>
      <w:proofErr w:type="gramStart"/>
      <w:r>
        <w:rPr>
          <w:rFonts w:cs="Arial"/>
          <w:szCs w:val="16"/>
        </w:rPr>
        <w:t>Ibid</w:t>
      </w:r>
      <w:r w:rsidRPr="00642D71">
        <w:rPr>
          <w:rFonts w:cs="Arial"/>
          <w:szCs w:val="16"/>
        </w:rPr>
        <w:t xml:space="preserve"> s 119.</w:t>
      </w:r>
      <w:proofErr w:type="gramEnd"/>
    </w:p>
  </w:footnote>
  <w:footnote w:id="83">
    <w:p w:rsidR="00572DE8" w:rsidRDefault="00572DE8">
      <w:pPr>
        <w:pStyle w:val="FootnoteText"/>
      </w:pPr>
      <w:r>
        <w:rPr>
          <w:rStyle w:val="FootnoteReference"/>
        </w:rPr>
        <w:footnoteRef/>
      </w:r>
      <w:r>
        <w:t xml:space="preserve"> </w:t>
      </w:r>
      <w:proofErr w:type="gramStart"/>
      <w:r>
        <w:t>Ibid s 117.</w:t>
      </w:r>
      <w:proofErr w:type="gramEnd"/>
    </w:p>
  </w:footnote>
  <w:footnote w:id="84">
    <w:p w:rsidR="00572DE8" w:rsidRPr="004F5BD7" w:rsidRDefault="00572DE8" w:rsidP="00E273DA">
      <w:pPr>
        <w:pStyle w:val="FootnoteText"/>
        <w:rPr>
          <w:rFonts w:cs="Arial"/>
          <w:szCs w:val="16"/>
        </w:rPr>
      </w:pPr>
      <w:r w:rsidRPr="004F5BD7">
        <w:rPr>
          <w:rStyle w:val="FootnoteReference"/>
          <w:rFonts w:cs="Arial"/>
          <w:szCs w:val="16"/>
        </w:rPr>
        <w:footnoteRef/>
      </w:r>
      <w:r>
        <w:rPr>
          <w:rFonts w:cs="Arial"/>
          <w:szCs w:val="16"/>
        </w:rPr>
        <w:t xml:space="preserve"> </w:t>
      </w:r>
      <w:proofErr w:type="gramStart"/>
      <w:r>
        <w:rPr>
          <w:rFonts w:cs="Arial"/>
          <w:szCs w:val="16"/>
        </w:rPr>
        <w:t>Ibid</w:t>
      </w:r>
      <w:r w:rsidRPr="004F5BD7">
        <w:rPr>
          <w:rFonts w:cs="Arial"/>
          <w:szCs w:val="16"/>
        </w:rPr>
        <w:t xml:space="preserve"> s 117.</w:t>
      </w:r>
      <w:proofErr w:type="gramEnd"/>
    </w:p>
  </w:footnote>
  <w:footnote w:id="85">
    <w:p w:rsidR="00572DE8" w:rsidRPr="00642D71" w:rsidRDefault="00572DE8" w:rsidP="00E273DA">
      <w:pPr>
        <w:pStyle w:val="FootnoteText"/>
        <w:rPr>
          <w:rFonts w:cs="Arial"/>
          <w:szCs w:val="16"/>
        </w:rPr>
      </w:pPr>
      <w:r w:rsidRPr="00642D71">
        <w:rPr>
          <w:rStyle w:val="FootnoteReference"/>
          <w:rFonts w:cs="Arial"/>
          <w:szCs w:val="16"/>
        </w:rPr>
        <w:footnoteRef/>
      </w:r>
      <w:r w:rsidRPr="00642D71">
        <w:rPr>
          <w:rFonts w:cs="Arial"/>
          <w:szCs w:val="16"/>
        </w:rPr>
        <w:t xml:space="preserve"> </w:t>
      </w:r>
      <w:r>
        <w:rPr>
          <w:rFonts w:cs="Arial"/>
          <w:szCs w:val="16"/>
        </w:rPr>
        <w:t>Ibid</w:t>
      </w:r>
      <w:r w:rsidRPr="00642D71">
        <w:rPr>
          <w:rFonts w:cs="Arial"/>
          <w:szCs w:val="16"/>
        </w:rPr>
        <w:t xml:space="preserve"> s 120, Schedule V</w:t>
      </w:r>
      <w:r>
        <w:rPr>
          <w:rFonts w:cs="Arial"/>
          <w:szCs w:val="16"/>
        </w:rPr>
        <w:t>, 'Deed of Grant of Allotment'</w:t>
      </w:r>
      <w:r w:rsidRPr="00642D71">
        <w:rPr>
          <w:rFonts w:cs="Arial"/>
          <w:szCs w:val="16"/>
        </w:rPr>
        <w:t>.</w:t>
      </w:r>
    </w:p>
  </w:footnote>
  <w:footnote w:id="86">
    <w:p w:rsidR="00572DE8" w:rsidRPr="00642D71" w:rsidRDefault="00572DE8">
      <w:pPr>
        <w:pStyle w:val="FootnoteText"/>
        <w:rPr>
          <w:rFonts w:cs="Arial"/>
          <w:szCs w:val="16"/>
        </w:rPr>
      </w:pPr>
      <w:r w:rsidRPr="00642D71">
        <w:rPr>
          <w:rStyle w:val="FootnoteReference"/>
          <w:rFonts w:cs="Arial"/>
          <w:szCs w:val="16"/>
        </w:rPr>
        <w:footnoteRef/>
      </w:r>
      <w:r w:rsidRPr="00642D71">
        <w:rPr>
          <w:rFonts w:cs="Arial"/>
          <w:szCs w:val="16"/>
        </w:rPr>
        <w:t xml:space="preserve"> </w:t>
      </w:r>
      <w:proofErr w:type="gramStart"/>
      <w:r>
        <w:rPr>
          <w:rFonts w:cs="Arial"/>
          <w:szCs w:val="16"/>
        </w:rPr>
        <w:t>Ibid</w:t>
      </w:r>
      <w:r w:rsidRPr="00642D71">
        <w:rPr>
          <w:rFonts w:cs="Arial"/>
          <w:szCs w:val="16"/>
        </w:rPr>
        <w:t xml:space="preserve"> s 122.</w:t>
      </w:r>
      <w:proofErr w:type="gramEnd"/>
    </w:p>
  </w:footnote>
  <w:footnote w:id="87">
    <w:p w:rsidR="00572DE8" w:rsidRPr="000976F9" w:rsidRDefault="00572DE8" w:rsidP="00E273DA">
      <w:pPr>
        <w:pStyle w:val="FootnoteText"/>
        <w:rPr>
          <w:rFonts w:cs="Arial"/>
          <w:szCs w:val="16"/>
        </w:rPr>
      </w:pPr>
      <w:r w:rsidRPr="000976F9">
        <w:rPr>
          <w:rStyle w:val="FootnoteReference"/>
          <w:rFonts w:cs="Arial"/>
          <w:szCs w:val="16"/>
        </w:rPr>
        <w:footnoteRef/>
      </w:r>
      <w:r w:rsidRPr="000976F9">
        <w:rPr>
          <w:rFonts w:cs="Arial"/>
          <w:szCs w:val="16"/>
        </w:rPr>
        <w:t xml:space="preserve"> </w:t>
      </w:r>
      <w:proofErr w:type="gramStart"/>
      <w:r>
        <w:rPr>
          <w:rFonts w:cs="Arial"/>
          <w:szCs w:val="16"/>
        </w:rPr>
        <w:t>Ibid</w:t>
      </w:r>
      <w:r w:rsidRPr="000976F9">
        <w:rPr>
          <w:rFonts w:cs="Arial"/>
          <w:szCs w:val="16"/>
        </w:rPr>
        <w:t xml:space="preserve"> s 124(1).</w:t>
      </w:r>
      <w:proofErr w:type="gramEnd"/>
    </w:p>
  </w:footnote>
  <w:footnote w:id="88">
    <w:p w:rsidR="00572DE8" w:rsidRDefault="00572DE8">
      <w:pPr>
        <w:pStyle w:val="FootnoteText"/>
      </w:pPr>
      <w:r>
        <w:rPr>
          <w:rStyle w:val="FootnoteReference"/>
        </w:rPr>
        <w:footnoteRef/>
      </w:r>
      <w:r>
        <w:t xml:space="preserve"> </w:t>
      </w:r>
      <w:proofErr w:type="gramStart"/>
      <w:r>
        <w:t>Ibid s 127, 128(1).</w:t>
      </w:r>
      <w:proofErr w:type="gramEnd"/>
    </w:p>
  </w:footnote>
  <w:footnote w:id="89">
    <w:p w:rsidR="00572DE8" w:rsidRDefault="00572DE8" w:rsidP="00E273DA">
      <w:pPr>
        <w:pStyle w:val="FootnoteText"/>
      </w:pPr>
      <w:r>
        <w:rPr>
          <w:rStyle w:val="FootnoteReference"/>
        </w:rPr>
        <w:footnoteRef/>
      </w:r>
      <w:r>
        <w:t xml:space="preserve"> </w:t>
      </w:r>
      <w:proofErr w:type="gramStart"/>
      <w:r>
        <w:t>Ibid s 128(2).</w:t>
      </w:r>
      <w:proofErr w:type="gramEnd"/>
    </w:p>
  </w:footnote>
  <w:footnote w:id="90">
    <w:p w:rsidR="00572DE8" w:rsidRDefault="00572DE8">
      <w:pPr>
        <w:pStyle w:val="FootnoteText"/>
      </w:pPr>
      <w:r>
        <w:rPr>
          <w:rStyle w:val="FootnoteReference"/>
        </w:rPr>
        <w:footnoteRef/>
      </w:r>
      <w:r>
        <w:t xml:space="preserve"> </w:t>
      </w:r>
      <w:proofErr w:type="gramStart"/>
      <w:r>
        <w:t>Ibid s 126.</w:t>
      </w:r>
      <w:proofErr w:type="gramEnd"/>
    </w:p>
  </w:footnote>
  <w:footnote w:id="91">
    <w:p w:rsidR="00572DE8" w:rsidRDefault="00572DE8">
      <w:pPr>
        <w:pStyle w:val="FootnoteText"/>
      </w:pPr>
      <w:r>
        <w:rPr>
          <w:rStyle w:val="FootnoteReference"/>
        </w:rPr>
        <w:footnoteRef/>
      </w:r>
      <w:r>
        <w:t xml:space="preserve"> Ibid </w:t>
      </w:r>
      <w:r w:rsidRPr="004C0C1D">
        <w:t xml:space="preserve">Schedule </w:t>
      </w:r>
      <w:r>
        <w:t>IX</w:t>
      </w:r>
      <w:r w:rsidRPr="004C0C1D">
        <w:t>, '</w:t>
      </w:r>
      <w:r>
        <w:t>Form of Sub-Lease</w:t>
      </w:r>
      <w:r w:rsidRPr="004C0C1D">
        <w:t>'</w:t>
      </w:r>
      <w:r>
        <w:t>.</w:t>
      </w:r>
    </w:p>
  </w:footnote>
  <w:footnote w:id="92">
    <w:p w:rsidR="00572DE8" w:rsidRDefault="00572DE8">
      <w:pPr>
        <w:pStyle w:val="FootnoteText"/>
      </w:pPr>
      <w:r>
        <w:rPr>
          <w:rStyle w:val="FootnoteReference"/>
        </w:rPr>
        <w:footnoteRef/>
      </w:r>
      <w:r>
        <w:t xml:space="preserve"> The information in this section was obtained from the following source: </w:t>
      </w:r>
      <w:r w:rsidRPr="00B82FE2">
        <w:rPr>
          <w:rFonts w:eastAsiaTheme="minorHAnsi"/>
          <w:szCs w:val="16"/>
          <w:lang w:eastAsia="en-US"/>
        </w:rPr>
        <w:t>Rachel Macleod, Interview with Rosamond Bing, Legal Counsel, Ministry of Lands and Natural Resources, Tonga (Telephone, 3 February 2017)</w:t>
      </w:r>
      <w:r>
        <w:rPr>
          <w:rFonts w:eastAsiaTheme="minorHAnsi"/>
          <w:szCs w:val="16"/>
          <w:lang w:eastAsia="en-US"/>
        </w:rPr>
        <w:t>.</w:t>
      </w:r>
    </w:p>
  </w:footnote>
  <w:footnote w:id="93">
    <w:p w:rsidR="00572DE8" w:rsidRDefault="00572DE8" w:rsidP="00E273DA">
      <w:pPr>
        <w:pStyle w:val="FootnoteText"/>
      </w:pPr>
      <w:r>
        <w:rPr>
          <w:rStyle w:val="FootnoteReference"/>
        </w:rPr>
        <w:footnoteRef/>
      </w:r>
      <w:r>
        <w:t xml:space="preserve"> </w:t>
      </w:r>
      <w:proofErr w:type="gramStart"/>
      <w:r w:rsidRPr="00594618">
        <w:rPr>
          <w:i/>
        </w:rPr>
        <w:t>Land Act</w:t>
      </w:r>
      <w:r>
        <w:t xml:space="preserve"> s 82(d).</w:t>
      </w:r>
      <w:proofErr w:type="gramEnd"/>
    </w:p>
  </w:footnote>
  <w:footnote w:id="94">
    <w:p w:rsidR="00572DE8" w:rsidRDefault="00572DE8" w:rsidP="00E273DA">
      <w:pPr>
        <w:pStyle w:val="FootnoteText"/>
      </w:pPr>
      <w:r>
        <w:rPr>
          <w:rStyle w:val="FootnoteReference"/>
        </w:rPr>
        <w:footnoteRef/>
      </w:r>
      <w:r>
        <w:t xml:space="preserve"> </w:t>
      </w:r>
      <w:proofErr w:type="gramStart"/>
      <w:r>
        <w:t>Ibid s 80.</w:t>
      </w:r>
      <w:proofErr w:type="gramEnd"/>
    </w:p>
  </w:footnote>
  <w:footnote w:id="95">
    <w:p w:rsidR="00572DE8" w:rsidRDefault="00572DE8">
      <w:pPr>
        <w:pStyle w:val="FootnoteText"/>
      </w:pPr>
      <w:r>
        <w:rPr>
          <w:rStyle w:val="FootnoteReference"/>
        </w:rPr>
        <w:footnoteRef/>
      </w:r>
      <w:r>
        <w:t xml:space="preserve"> </w:t>
      </w:r>
      <w:r w:rsidRPr="00B82FE2">
        <w:rPr>
          <w:rFonts w:eastAsiaTheme="minorHAnsi"/>
          <w:szCs w:val="16"/>
          <w:lang w:eastAsia="en-US"/>
        </w:rPr>
        <w:t>Rachel Macleod, Interview with Rosamond Bing, Legal Counsel, Ministry of Lands and Natural Resources, Tonga (Telephone, 3 February 2017)</w:t>
      </w:r>
      <w:r>
        <w:rPr>
          <w:rFonts w:eastAsiaTheme="minorHAnsi"/>
          <w:szCs w:val="16"/>
          <w:lang w:eastAsia="en-US"/>
        </w:rPr>
        <w:t>.</w:t>
      </w:r>
    </w:p>
  </w:footnote>
  <w:footnote w:id="96">
    <w:p w:rsidR="00572DE8" w:rsidRDefault="00572DE8">
      <w:pPr>
        <w:pStyle w:val="FootnoteText"/>
      </w:pPr>
      <w:r>
        <w:rPr>
          <w:rStyle w:val="FootnoteReference"/>
        </w:rPr>
        <w:footnoteRef/>
      </w:r>
      <w:r>
        <w:t xml:space="preserve"> Ibid.</w:t>
      </w:r>
    </w:p>
  </w:footnote>
  <w:footnote w:id="97">
    <w:p w:rsidR="00572DE8" w:rsidRDefault="00572DE8">
      <w:pPr>
        <w:pStyle w:val="FootnoteText"/>
      </w:pPr>
      <w:r>
        <w:rPr>
          <w:rStyle w:val="FootnoteReference"/>
        </w:rPr>
        <w:footnoteRef/>
      </w:r>
      <w:r>
        <w:t xml:space="preserve"> The information in this section was obtained from the following source: </w:t>
      </w:r>
      <w:r w:rsidRPr="00B82FE2">
        <w:rPr>
          <w:rFonts w:eastAsiaTheme="minorHAnsi"/>
          <w:szCs w:val="16"/>
          <w:lang w:eastAsia="en-US"/>
        </w:rPr>
        <w:t>Rachel Macleod, Interview with Rosamond Bing, Legal Counsel, Ministry of Lands and Natural Resources, Tonga (Telephone, 3 February 2017)</w:t>
      </w:r>
      <w:r>
        <w:rPr>
          <w:rFonts w:eastAsiaTheme="minorHAnsi"/>
          <w:szCs w:val="16"/>
          <w:lang w:eastAsia="en-US"/>
        </w:rPr>
        <w:t>.</w:t>
      </w:r>
    </w:p>
  </w:footnote>
  <w:footnote w:id="98">
    <w:p w:rsidR="00572DE8" w:rsidRDefault="00572DE8" w:rsidP="00E273DA">
      <w:pPr>
        <w:pStyle w:val="FootnoteText"/>
      </w:pPr>
      <w:r>
        <w:rPr>
          <w:rStyle w:val="FootnoteReference"/>
        </w:rPr>
        <w:footnoteRef/>
      </w:r>
      <w:r>
        <w:t xml:space="preserve"> </w:t>
      </w:r>
      <w:r>
        <w:rPr>
          <w:rFonts w:eastAsiaTheme="minorHAnsi"/>
          <w:szCs w:val="16"/>
          <w:lang w:eastAsia="en-US"/>
        </w:rPr>
        <w:t>Ibid.</w:t>
      </w:r>
    </w:p>
  </w:footnote>
  <w:footnote w:id="99">
    <w:p w:rsidR="00572DE8" w:rsidRDefault="00572DE8">
      <w:pPr>
        <w:pStyle w:val="FootnoteText"/>
      </w:pPr>
      <w:r>
        <w:rPr>
          <w:rStyle w:val="FootnoteReference"/>
        </w:rPr>
        <w:footnoteRef/>
      </w:r>
      <w:r>
        <w:t xml:space="preserve"> </w:t>
      </w:r>
      <w:r>
        <w:rPr>
          <w:rFonts w:eastAsiaTheme="minorHAnsi" w:cs="Arial"/>
          <w:lang w:eastAsia="en-US"/>
        </w:rPr>
        <w:t>Land (Amendment) Act 1990 s 2.</w:t>
      </w:r>
    </w:p>
  </w:footnote>
  <w:footnote w:id="100">
    <w:p w:rsidR="00572DE8" w:rsidRDefault="00572DE8" w:rsidP="00E273DA">
      <w:pPr>
        <w:pStyle w:val="FootnoteText"/>
      </w:pPr>
      <w:r>
        <w:rPr>
          <w:rStyle w:val="FootnoteReference"/>
        </w:rPr>
        <w:footnoteRef/>
      </w:r>
      <w:r>
        <w:t xml:space="preserve"> </w:t>
      </w:r>
      <w:r w:rsidRPr="005313C3">
        <w:rPr>
          <w:i/>
        </w:rPr>
        <w:t>Nationality Act 1915</w:t>
      </w:r>
      <w:r>
        <w:t xml:space="preserve"> s 2 as amended by the Nationality (Amendment) Act 2007.</w:t>
      </w:r>
    </w:p>
  </w:footnote>
  <w:footnote w:id="101">
    <w:p w:rsidR="00572DE8" w:rsidRDefault="00572DE8" w:rsidP="00E273DA">
      <w:pPr>
        <w:pStyle w:val="FootnoteText"/>
      </w:pPr>
      <w:r>
        <w:rPr>
          <w:rStyle w:val="FootnoteReference"/>
        </w:rPr>
        <w:footnoteRef/>
      </w:r>
      <w:r>
        <w:t xml:space="preserve"> </w:t>
      </w:r>
      <w:r w:rsidRPr="00F540BB">
        <w:t>Tonga Department of Statistics and Secretariat of the Pacific Community</w:t>
      </w:r>
      <w:r>
        <w:t>,</w:t>
      </w:r>
      <w:r w:rsidRPr="00F540BB">
        <w:t xml:space="preserve"> '</w:t>
      </w:r>
      <w:r w:rsidRPr="00F540BB">
        <w:rPr>
          <w:bCs/>
        </w:rPr>
        <w:t>Tonga 2011 Census of Population and Housing, Volume 2: Analytical Report</w:t>
      </w:r>
      <w:r w:rsidRPr="00F540BB">
        <w:t xml:space="preserve">' </w:t>
      </w:r>
      <w:r>
        <w:t xml:space="preserve">(January 2014) </w:t>
      </w:r>
      <w:r w:rsidRPr="00F540BB">
        <w:t>54.</w:t>
      </w:r>
    </w:p>
  </w:footnote>
  <w:footnote w:id="102">
    <w:p w:rsidR="00572DE8" w:rsidRDefault="00572DE8" w:rsidP="00E273DA">
      <w:pPr>
        <w:pStyle w:val="FootnoteText"/>
      </w:pPr>
      <w:r>
        <w:rPr>
          <w:rStyle w:val="FootnoteReference"/>
        </w:rPr>
        <w:footnoteRef/>
      </w:r>
      <w:r>
        <w:t xml:space="preserve"> </w:t>
      </w:r>
      <w:r w:rsidRPr="00B82FE2">
        <w:rPr>
          <w:rFonts w:eastAsiaTheme="minorHAnsi"/>
          <w:szCs w:val="16"/>
          <w:lang w:eastAsia="en-US"/>
        </w:rPr>
        <w:t>Rachel Macleod, Interview with Rosamond Bing, Legal Counsel, Ministry of Lands and Natural Resources, Tonga (Telephone, 3 February 2017)</w:t>
      </w:r>
      <w:r>
        <w:rPr>
          <w:rFonts w:eastAsiaTheme="minorHAnsi"/>
          <w:szCs w:val="16"/>
          <w:lang w:eastAsia="en-US"/>
        </w:rPr>
        <w:t>.</w:t>
      </w:r>
    </w:p>
  </w:footnote>
  <w:footnote w:id="103">
    <w:p w:rsidR="00572DE8" w:rsidRDefault="00572DE8">
      <w:pPr>
        <w:pStyle w:val="FootnoteText"/>
      </w:pPr>
      <w:r>
        <w:rPr>
          <w:rStyle w:val="FootnoteReference"/>
        </w:rPr>
        <w:footnoteRef/>
      </w:r>
      <w:r>
        <w:t xml:space="preserve"> </w:t>
      </w:r>
      <w:r>
        <w:rPr>
          <w:rFonts w:eastAsiaTheme="minorHAnsi"/>
          <w:szCs w:val="16"/>
          <w:lang w:eastAsia="en-US"/>
        </w:rPr>
        <w:t>Ibid.</w:t>
      </w:r>
    </w:p>
  </w:footnote>
  <w:footnote w:id="104">
    <w:p w:rsidR="00572DE8" w:rsidRPr="0066486B" w:rsidRDefault="00572DE8">
      <w:pPr>
        <w:pStyle w:val="FootnoteText"/>
        <w:rPr>
          <w:i/>
        </w:rPr>
      </w:pPr>
      <w:r>
        <w:rPr>
          <w:rStyle w:val="FootnoteReference"/>
        </w:rPr>
        <w:footnoteRef/>
      </w:r>
      <w:r>
        <w:t xml:space="preserve"> </w:t>
      </w:r>
      <w:proofErr w:type="gramStart"/>
      <w:r w:rsidRPr="00E929B6">
        <w:rPr>
          <w:bCs/>
          <w:i/>
        </w:rPr>
        <w:t>Manu v '</w:t>
      </w:r>
      <w:proofErr w:type="spellStart"/>
      <w:r w:rsidRPr="00E929B6">
        <w:rPr>
          <w:bCs/>
          <w:i/>
        </w:rPr>
        <w:t>Aholelei</w:t>
      </w:r>
      <w:proofErr w:type="spellEnd"/>
      <w:r w:rsidRPr="00E929B6">
        <w:rPr>
          <w:bCs/>
        </w:rPr>
        <w:t xml:space="preserve"> (Land Court of Tonga, 17 April 2015) LA 13/2014</w:t>
      </w:r>
      <w:r>
        <w:rPr>
          <w:bCs/>
        </w:rPr>
        <w:t xml:space="preserve"> [45]-[47].</w:t>
      </w:r>
      <w:proofErr w:type="gramEnd"/>
      <w:r>
        <w:rPr>
          <w:bCs/>
        </w:rPr>
        <w:t xml:space="preserve"> See also </w:t>
      </w:r>
      <w:r w:rsidRPr="00E929B6">
        <w:rPr>
          <w:bCs/>
          <w:i/>
          <w:iCs/>
        </w:rPr>
        <w:t xml:space="preserve">Tata v </w:t>
      </w:r>
      <w:proofErr w:type="spellStart"/>
      <w:r w:rsidRPr="00E929B6">
        <w:rPr>
          <w:bCs/>
          <w:i/>
          <w:iCs/>
        </w:rPr>
        <w:t>Viau</w:t>
      </w:r>
      <w:proofErr w:type="spellEnd"/>
      <w:r w:rsidRPr="00E929B6">
        <w:rPr>
          <w:bCs/>
          <w:i/>
          <w:iCs/>
        </w:rPr>
        <w:t xml:space="preserve"> </w:t>
      </w:r>
      <w:r>
        <w:rPr>
          <w:bCs/>
        </w:rPr>
        <w:t>[2006] Tonga Law Reports</w:t>
      </w:r>
      <w:r w:rsidRPr="00E929B6">
        <w:rPr>
          <w:bCs/>
        </w:rPr>
        <w:t xml:space="preserve">. </w:t>
      </w:r>
      <w:proofErr w:type="gramStart"/>
      <w:r w:rsidRPr="00E929B6">
        <w:rPr>
          <w:bCs/>
        </w:rPr>
        <w:t>287</w:t>
      </w:r>
      <w:r>
        <w:rPr>
          <w:bCs/>
        </w:rPr>
        <w:t xml:space="preserve"> [35]-[39]; </w:t>
      </w:r>
      <w:proofErr w:type="spellStart"/>
      <w:r w:rsidRPr="00E929B6">
        <w:rPr>
          <w:bCs/>
          <w:i/>
          <w:iCs/>
        </w:rPr>
        <w:t>Ma'ake</w:t>
      </w:r>
      <w:proofErr w:type="spellEnd"/>
      <w:r w:rsidRPr="00E929B6">
        <w:rPr>
          <w:bCs/>
          <w:i/>
          <w:iCs/>
        </w:rPr>
        <w:t xml:space="preserve"> v </w:t>
      </w:r>
      <w:proofErr w:type="spellStart"/>
      <w:r w:rsidRPr="00E929B6">
        <w:rPr>
          <w:bCs/>
          <w:i/>
          <w:iCs/>
        </w:rPr>
        <w:t>Lataimu'a</w:t>
      </w:r>
      <w:proofErr w:type="spellEnd"/>
      <w:r w:rsidRPr="00E929B6">
        <w:rPr>
          <w:bCs/>
          <w:i/>
          <w:iCs/>
        </w:rPr>
        <w:t xml:space="preserve"> </w:t>
      </w:r>
      <w:r>
        <w:rPr>
          <w:bCs/>
        </w:rPr>
        <w:t>[2007] Tonga Law Reports 15</w:t>
      </w:r>
      <w:r w:rsidRPr="00E929B6">
        <w:rPr>
          <w:bCs/>
        </w:rPr>
        <w:t xml:space="preserve"> [49]</w:t>
      </w:r>
      <w:r>
        <w:rPr>
          <w:bCs/>
        </w:rPr>
        <w:t>.</w:t>
      </w:r>
      <w:proofErr w:type="gramEnd"/>
    </w:p>
  </w:footnote>
  <w:footnote w:id="105">
    <w:p w:rsidR="00572DE8" w:rsidRDefault="00572DE8">
      <w:pPr>
        <w:pStyle w:val="FootnoteText"/>
      </w:pPr>
      <w:r>
        <w:rPr>
          <w:rStyle w:val="FootnoteReference"/>
        </w:rPr>
        <w:footnoteRef/>
      </w:r>
      <w:r>
        <w:t xml:space="preserve"> Ibid.</w:t>
      </w:r>
    </w:p>
  </w:footnote>
  <w:footnote w:id="106">
    <w:p w:rsidR="00572DE8" w:rsidRDefault="00572DE8">
      <w:pPr>
        <w:pStyle w:val="FootnoteText"/>
      </w:pPr>
      <w:r>
        <w:rPr>
          <w:rStyle w:val="FootnoteReference"/>
        </w:rPr>
        <w:footnoteRef/>
      </w:r>
      <w:r>
        <w:t xml:space="preserve"> </w:t>
      </w:r>
      <w:proofErr w:type="gramStart"/>
      <w:r w:rsidRPr="00E929B6">
        <w:rPr>
          <w:bCs/>
          <w:i/>
        </w:rPr>
        <w:t>Manu v '</w:t>
      </w:r>
      <w:proofErr w:type="spellStart"/>
      <w:r w:rsidRPr="00E929B6">
        <w:rPr>
          <w:bCs/>
          <w:i/>
        </w:rPr>
        <w:t>Aholelei</w:t>
      </w:r>
      <w:proofErr w:type="spellEnd"/>
      <w:r w:rsidRPr="00E929B6">
        <w:rPr>
          <w:bCs/>
        </w:rPr>
        <w:t xml:space="preserve"> (Land Court of Tonga, 17 April 2015) LA 13/2014</w:t>
      </w:r>
      <w:r>
        <w:rPr>
          <w:bCs/>
        </w:rPr>
        <w:t xml:space="preserve"> [45]-[47].</w:t>
      </w:r>
      <w:proofErr w:type="gramEnd"/>
    </w:p>
  </w:footnote>
  <w:footnote w:id="107">
    <w:p w:rsidR="00572DE8" w:rsidRDefault="00572DE8" w:rsidP="00E273DA">
      <w:pPr>
        <w:pStyle w:val="FootnoteText"/>
      </w:pPr>
      <w:r>
        <w:rPr>
          <w:rStyle w:val="FootnoteReference"/>
        </w:rPr>
        <w:footnoteRef/>
      </w:r>
      <w:r>
        <w:t xml:space="preserve"> </w:t>
      </w:r>
      <w:proofErr w:type="gramStart"/>
      <w:r>
        <w:t>Ibid [48].</w:t>
      </w:r>
      <w:proofErr w:type="gramEnd"/>
    </w:p>
  </w:footnote>
  <w:footnote w:id="108">
    <w:p w:rsidR="00572DE8" w:rsidRDefault="00572DE8" w:rsidP="00E273DA">
      <w:pPr>
        <w:pStyle w:val="FootnoteText"/>
      </w:pPr>
      <w:r>
        <w:rPr>
          <w:rStyle w:val="FootnoteReference"/>
        </w:rPr>
        <w:footnoteRef/>
      </w:r>
      <w:r>
        <w:t xml:space="preserve"> </w:t>
      </w:r>
      <w:proofErr w:type="gramStart"/>
      <w:r>
        <w:t>Ibid [48].</w:t>
      </w:r>
      <w:proofErr w:type="gramEnd"/>
    </w:p>
  </w:footnote>
  <w:footnote w:id="109">
    <w:p w:rsidR="00572DE8" w:rsidRDefault="00572DE8">
      <w:pPr>
        <w:pStyle w:val="FootnoteText"/>
      </w:pPr>
      <w:r>
        <w:rPr>
          <w:rStyle w:val="FootnoteReference"/>
        </w:rPr>
        <w:footnoteRef/>
      </w:r>
      <w:r>
        <w:t xml:space="preserve"> </w:t>
      </w:r>
      <w:proofErr w:type="gramStart"/>
      <w:r>
        <w:t>Ibid [28].</w:t>
      </w:r>
      <w:proofErr w:type="gramEnd"/>
    </w:p>
  </w:footnote>
  <w:footnote w:id="110">
    <w:p w:rsidR="00572DE8" w:rsidRDefault="00572DE8" w:rsidP="00E273DA">
      <w:pPr>
        <w:pStyle w:val="FootnoteText"/>
      </w:pPr>
      <w:r>
        <w:rPr>
          <w:rStyle w:val="FootnoteReference"/>
        </w:rPr>
        <w:footnoteRef/>
      </w:r>
      <w:r>
        <w:t xml:space="preserve"> </w:t>
      </w:r>
      <w:r w:rsidRPr="00B82FE2">
        <w:rPr>
          <w:rFonts w:eastAsiaTheme="minorHAnsi"/>
          <w:szCs w:val="16"/>
          <w:lang w:eastAsia="en-US"/>
        </w:rPr>
        <w:t>Rachel Macleod, Interview with Rosamond Bing, Legal Counsel, Ministry of Lands and Natural Resources, Tonga (Telephone, 3 February 2017)</w:t>
      </w:r>
      <w:r>
        <w:rPr>
          <w:rFonts w:eastAsiaTheme="minorHAnsi"/>
          <w:szCs w:val="16"/>
          <w:lang w:eastAsia="en-US"/>
        </w:rPr>
        <w:t>.</w:t>
      </w:r>
    </w:p>
  </w:footnote>
  <w:footnote w:id="111">
    <w:p w:rsidR="00572DE8" w:rsidRDefault="00572DE8">
      <w:pPr>
        <w:pStyle w:val="FootnoteText"/>
      </w:pPr>
      <w:r>
        <w:rPr>
          <w:rStyle w:val="FootnoteReference"/>
        </w:rPr>
        <w:footnoteRef/>
      </w:r>
      <w:r>
        <w:t xml:space="preserve">  </w:t>
      </w:r>
      <w:r>
        <w:rPr>
          <w:rFonts w:eastAsiaTheme="minorHAnsi"/>
          <w:szCs w:val="16"/>
          <w:lang w:eastAsia="en-US"/>
        </w:rPr>
        <w:t>Ibid.</w:t>
      </w:r>
    </w:p>
  </w:footnote>
  <w:footnote w:id="112">
    <w:p w:rsidR="00572DE8" w:rsidRDefault="00572DE8" w:rsidP="00E273DA">
      <w:pPr>
        <w:pStyle w:val="FootnoteText"/>
      </w:pPr>
      <w:r>
        <w:rPr>
          <w:rStyle w:val="FootnoteReference"/>
        </w:rPr>
        <w:footnoteRef/>
      </w:r>
      <w:r>
        <w:t xml:space="preserve"> </w:t>
      </w:r>
      <w:r w:rsidRPr="00885E37">
        <w:rPr>
          <w:i/>
        </w:rPr>
        <w:t>Land Act</w:t>
      </w:r>
      <w:r>
        <w:t>, Schedule IX, 'Form of Lease'.</w:t>
      </w:r>
    </w:p>
  </w:footnote>
  <w:footnote w:id="113">
    <w:p w:rsidR="00572DE8" w:rsidRPr="00262374" w:rsidRDefault="00572DE8" w:rsidP="00E273DA">
      <w:pPr>
        <w:pStyle w:val="FootnoteText"/>
        <w:rPr>
          <w:i/>
        </w:rPr>
      </w:pPr>
      <w:r>
        <w:rPr>
          <w:rStyle w:val="FootnoteReference"/>
        </w:rPr>
        <w:footnoteRef/>
      </w:r>
      <w:r>
        <w:t xml:space="preserve"> </w:t>
      </w:r>
      <w:proofErr w:type="gramStart"/>
      <w:r>
        <w:t xml:space="preserve">See </w:t>
      </w:r>
      <w:r>
        <w:rPr>
          <w:bCs/>
          <w:i/>
        </w:rPr>
        <w:t xml:space="preserve">Payne </w:t>
      </w:r>
      <w:r w:rsidRPr="00262374">
        <w:rPr>
          <w:bCs/>
          <w:i/>
        </w:rPr>
        <w:t xml:space="preserve">v </w:t>
      </w:r>
      <w:proofErr w:type="spellStart"/>
      <w:r>
        <w:rPr>
          <w:bCs/>
          <w:i/>
        </w:rPr>
        <w:t>Fakahau</w:t>
      </w:r>
      <w:proofErr w:type="spellEnd"/>
      <w:r w:rsidRPr="00262374">
        <w:rPr>
          <w:bCs/>
          <w:i/>
        </w:rPr>
        <w:t xml:space="preserve"> and others</w:t>
      </w:r>
      <w:r>
        <w:rPr>
          <w:bCs/>
        </w:rPr>
        <w:t xml:space="preserve"> </w:t>
      </w:r>
      <w:r w:rsidRPr="00262374">
        <w:rPr>
          <w:bCs/>
        </w:rPr>
        <w:t xml:space="preserve">(Land Court of Tonga, </w:t>
      </w:r>
      <w:r>
        <w:rPr>
          <w:bCs/>
        </w:rPr>
        <w:t>10 March 2017) LA 23/2014 [88]</w:t>
      </w:r>
      <w:r w:rsidRPr="0049316B">
        <w:t>–</w:t>
      </w:r>
      <w:r>
        <w:rPr>
          <w:bCs/>
        </w:rPr>
        <w:t>[91], [112].</w:t>
      </w:r>
      <w:proofErr w:type="gramEnd"/>
    </w:p>
  </w:footnote>
  <w:footnote w:id="114">
    <w:p w:rsidR="00572DE8" w:rsidRDefault="00572DE8">
      <w:pPr>
        <w:pStyle w:val="FootnoteText"/>
      </w:pPr>
      <w:r>
        <w:rPr>
          <w:rStyle w:val="FootnoteReference"/>
        </w:rPr>
        <w:footnoteRef/>
      </w:r>
      <w:r>
        <w:t xml:space="preserve"> Ibid.</w:t>
      </w:r>
    </w:p>
  </w:footnote>
  <w:footnote w:id="115">
    <w:p w:rsidR="00572DE8" w:rsidRDefault="00572DE8">
      <w:pPr>
        <w:pStyle w:val="FootnoteText"/>
      </w:pPr>
      <w:r>
        <w:rPr>
          <w:rStyle w:val="FootnoteReference"/>
        </w:rPr>
        <w:footnoteRef/>
      </w:r>
      <w:r>
        <w:t xml:space="preserve"> See, </w:t>
      </w:r>
      <w:proofErr w:type="spellStart"/>
      <w:r>
        <w:t>eg</w:t>
      </w:r>
      <w:proofErr w:type="spellEnd"/>
      <w:r>
        <w:t xml:space="preserve">, </w:t>
      </w:r>
      <w:proofErr w:type="spellStart"/>
      <w:r>
        <w:rPr>
          <w:i/>
          <w:iCs/>
        </w:rPr>
        <w:t>Fakatava</w:t>
      </w:r>
      <w:proofErr w:type="spellEnd"/>
      <w:r>
        <w:rPr>
          <w:i/>
          <w:iCs/>
        </w:rPr>
        <w:t xml:space="preserve"> v </w:t>
      </w:r>
      <w:proofErr w:type="spellStart"/>
      <w:r>
        <w:rPr>
          <w:i/>
          <w:iCs/>
        </w:rPr>
        <w:t>Koloamatanga</w:t>
      </w:r>
      <w:proofErr w:type="spellEnd"/>
      <w:r>
        <w:rPr>
          <w:i/>
          <w:iCs/>
        </w:rPr>
        <w:t xml:space="preserve"> </w:t>
      </w:r>
      <w:proofErr w:type="spellStart"/>
      <w:proofErr w:type="gramStart"/>
      <w:r>
        <w:rPr>
          <w:i/>
          <w:iCs/>
        </w:rPr>
        <w:t>i</w:t>
      </w:r>
      <w:proofErr w:type="spellEnd"/>
      <w:r>
        <w:t>(</w:t>
      </w:r>
      <w:proofErr w:type="gramEnd"/>
      <w:r>
        <w:t xml:space="preserve">1974-1980) Tonga Law Reports 15; </w:t>
      </w:r>
      <w:proofErr w:type="spellStart"/>
      <w:r>
        <w:rPr>
          <w:i/>
          <w:iCs/>
        </w:rPr>
        <w:t>Motuliki</w:t>
      </w:r>
      <w:proofErr w:type="spellEnd"/>
      <w:r>
        <w:rPr>
          <w:i/>
          <w:iCs/>
        </w:rPr>
        <w:t xml:space="preserve"> v </w:t>
      </w:r>
      <w:proofErr w:type="spellStart"/>
      <w:r>
        <w:rPr>
          <w:i/>
          <w:iCs/>
        </w:rPr>
        <w:t>Namoa</w:t>
      </w:r>
      <w:proofErr w:type="spellEnd"/>
      <w:r>
        <w:rPr>
          <w:i/>
          <w:iCs/>
        </w:rPr>
        <w:t xml:space="preserve"> </w:t>
      </w:r>
      <w:r>
        <w:t>(1990) Tonga Law Reports 61.</w:t>
      </w:r>
    </w:p>
  </w:footnote>
  <w:footnote w:id="116">
    <w:p w:rsidR="00572DE8" w:rsidRDefault="00572DE8">
      <w:pPr>
        <w:pStyle w:val="FootnoteText"/>
      </w:pPr>
      <w:r>
        <w:rPr>
          <w:rStyle w:val="FootnoteReference"/>
        </w:rPr>
        <w:footnoteRef/>
      </w:r>
      <w:r>
        <w:t xml:space="preserve"> </w:t>
      </w:r>
      <w:proofErr w:type="gramStart"/>
      <w:r w:rsidRPr="00C10E58">
        <w:rPr>
          <w:i/>
        </w:rPr>
        <w:t>Land Act</w:t>
      </w:r>
      <w:r>
        <w:t xml:space="preserve"> s 141(1).</w:t>
      </w:r>
      <w:proofErr w:type="gramEnd"/>
    </w:p>
  </w:footnote>
  <w:footnote w:id="117">
    <w:p w:rsidR="00572DE8" w:rsidRDefault="00572DE8" w:rsidP="00E273DA">
      <w:pPr>
        <w:pStyle w:val="FootnoteText"/>
      </w:pPr>
      <w:r>
        <w:rPr>
          <w:rStyle w:val="FootnoteReference"/>
        </w:rPr>
        <w:footnoteRef/>
      </w:r>
      <w:r>
        <w:t xml:space="preserve"> </w:t>
      </w:r>
      <w:proofErr w:type="gramStart"/>
      <w:r>
        <w:t>Ibid s 138.</w:t>
      </w:r>
      <w:proofErr w:type="gramEnd"/>
    </w:p>
  </w:footnote>
  <w:footnote w:id="118">
    <w:p w:rsidR="00572DE8" w:rsidRDefault="00572DE8">
      <w:pPr>
        <w:pStyle w:val="FootnoteText"/>
      </w:pPr>
      <w:r>
        <w:rPr>
          <w:rStyle w:val="FootnoteReference"/>
        </w:rPr>
        <w:footnoteRef/>
      </w:r>
      <w:r>
        <w:t xml:space="preserve"> </w:t>
      </w:r>
      <w:proofErr w:type="gramStart"/>
      <w:r w:rsidRPr="00885E37">
        <w:t>Ibid s 142.</w:t>
      </w:r>
      <w:proofErr w:type="gramEnd"/>
    </w:p>
  </w:footnote>
  <w:footnote w:id="119">
    <w:p w:rsidR="00572DE8" w:rsidRDefault="00572DE8">
      <w:pPr>
        <w:pStyle w:val="FootnoteText"/>
      </w:pPr>
      <w:r>
        <w:rPr>
          <w:rStyle w:val="FootnoteReference"/>
        </w:rPr>
        <w:footnoteRef/>
      </w:r>
      <w:r>
        <w:t xml:space="preserve"> </w:t>
      </w:r>
      <w:r w:rsidRPr="00B82FE2">
        <w:rPr>
          <w:rFonts w:eastAsiaTheme="minorHAnsi"/>
          <w:szCs w:val="16"/>
          <w:lang w:eastAsia="en-US"/>
        </w:rPr>
        <w:t>Rachel Macleod, Interview with Rosamond Bing, Legal Counsel, Ministry of Lands and Natural Resources, Tonga (Telephone, 3 February 2017)</w:t>
      </w:r>
      <w:r>
        <w:rPr>
          <w:rFonts w:eastAsiaTheme="minorHAnsi"/>
          <w:szCs w:val="16"/>
          <w:lang w:eastAsia="en-US"/>
        </w:rPr>
        <w:t>.</w:t>
      </w:r>
    </w:p>
  </w:footnote>
  <w:footnote w:id="120">
    <w:p w:rsidR="00572DE8" w:rsidRDefault="00572DE8" w:rsidP="00E273DA">
      <w:pPr>
        <w:pStyle w:val="FootnoteText"/>
      </w:pPr>
      <w:r>
        <w:rPr>
          <w:rStyle w:val="FootnoteReference"/>
        </w:rPr>
        <w:footnoteRef/>
      </w:r>
      <w:r>
        <w:t xml:space="preserve"> Ministry of Infrastructure, Kingdom of Tonga, 'Resettlement Policy Framework: Tonga Cyclone Ian Reconstruction and Climate Resilience Project' (14 April 2014) 7. The World Bank's </w:t>
      </w:r>
      <w:r w:rsidRPr="0049316B">
        <w:t xml:space="preserve">principles, objectives, procedures and rules </w:t>
      </w:r>
      <w:r>
        <w:t xml:space="preserve">concerning involuntary resettlement are set out in: </w:t>
      </w:r>
      <w:r w:rsidRPr="0049316B">
        <w:t>World Bank</w:t>
      </w:r>
      <w:r>
        <w:t>, '</w:t>
      </w:r>
      <w:r w:rsidRPr="0049316B">
        <w:t>Operational Policy OP 4.12 – Involuntary Resettlement</w:t>
      </w:r>
      <w:r>
        <w:t>' (April 2013).</w:t>
      </w:r>
    </w:p>
  </w:footnote>
  <w:footnote w:id="121">
    <w:p w:rsidR="00572DE8" w:rsidRDefault="00572DE8">
      <w:pPr>
        <w:pStyle w:val="FootnoteText"/>
      </w:pPr>
      <w:r>
        <w:rPr>
          <w:rStyle w:val="FootnoteReference"/>
        </w:rPr>
        <w:footnoteRef/>
      </w:r>
      <w:r>
        <w:t xml:space="preserve"> This information has been obtained from the following website: Shelter Cluster, 'Tonga' &lt;</w:t>
      </w:r>
      <w:r w:rsidRPr="00E80E17">
        <w:t>https://www.sheltercluster.org/pacific/tonga</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E8" w:rsidRPr="00C8043E" w:rsidRDefault="00572DE8" w:rsidP="00E273DA">
    <w:pPr>
      <w:spacing w:line="240" w:lineRule="auto"/>
      <w:jc w:val="right"/>
    </w:pPr>
    <w:r>
      <w:rPr>
        <w:noProof/>
        <w:lang w:val="es-EC" w:eastAsia="es-EC"/>
      </w:rPr>
      <w:drawing>
        <wp:anchor distT="0" distB="0" distL="114300" distR="114300" simplePos="0" relativeHeight="251682816" behindDoc="0" locked="0" layoutInCell="1" allowOverlap="1" wp14:anchorId="13CFF294" wp14:editId="2B99CE9D">
          <wp:simplePos x="0" y="0"/>
          <wp:positionH relativeFrom="column">
            <wp:posOffset>-552186</wp:posOffset>
          </wp:positionH>
          <wp:positionV relativeFrom="paragraph">
            <wp:posOffset>-270510</wp:posOffset>
          </wp:positionV>
          <wp:extent cx="6976800" cy="745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76800" cy="745200"/>
                  </a:xfrm>
                  <a:prstGeom prst="rect">
                    <a:avLst/>
                  </a:prstGeom>
                </pic:spPr>
              </pic:pic>
            </a:graphicData>
          </a:graphic>
          <wp14:sizeRelH relativeFrom="page">
            <wp14:pctWidth>0</wp14:pctWidth>
          </wp14:sizeRelH>
          <wp14:sizeRelV relativeFrom="page">
            <wp14:pctHeight>0</wp14:pctHeight>
          </wp14:sizeRelV>
        </wp:anchor>
      </w:drawing>
    </w:r>
  </w:p>
  <w:p w:rsidR="00572DE8" w:rsidRPr="002055CC" w:rsidRDefault="00572DE8" w:rsidP="00E273D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E8" w:rsidRDefault="00572DE8">
    <w:pPr>
      <w:pStyle w:val="Header"/>
    </w:pPr>
    <w:r>
      <w:rPr>
        <w:lang w:val="es-EC" w:eastAsia="es-EC"/>
      </w:rPr>
      <w:drawing>
        <wp:anchor distT="0" distB="0" distL="114300" distR="114300" simplePos="0" relativeHeight="251666432" behindDoc="1" locked="1" layoutInCell="1" allowOverlap="1" wp14:anchorId="46983560" wp14:editId="584483A2">
          <wp:simplePos x="0" y="0"/>
          <wp:positionH relativeFrom="column">
            <wp:posOffset>3663218</wp:posOffset>
          </wp:positionH>
          <wp:positionV relativeFrom="page">
            <wp:posOffset>431800</wp:posOffset>
          </wp:positionV>
          <wp:extent cx="2268000" cy="212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00" cy="21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572DE8" w:rsidTr="00B72B93">
      <w:trPr>
        <w:trHeight w:hRule="exact" w:val="900"/>
      </w:trPr>
      <w:tc>
        <w:tcPr>
          <w:tcW w:w="6946" w:type="dxa"/>
          <w:vAlign w:val="bottom"/>
        </w:tcPr>
        <w:p w:rsidR="00572DE8" w:rsidRDefault="00572DE8" w:rsidP="0045070A">
          <w:pPr>
            <w:pStyle w:val="HeaderTitle"/>
          </w:pPr>
        </w:p>
      </w:tc>
      <w:tc>
        <w:tcPr>
          <w:tcW w:w="2410" w:type="dxa"/>
          <w:vAlign w:val="bottom"/>
        </w:tcPr>
        <w:p w:rsidR="00572DE8" w:rsidRPr="006A4582" w:rsidRDefault="00572DE8" w:rsidP="0045070A">
          <w:pPr>
            <w:pStyle w:val="HeaderTitle"/>
            <w:jc w:val="right"/>
            <w:rPr>
              <w:rFonts w:ascii="Times New Roman" w:hAnsi="Times New Roman"/>
            </w:rPr>
          </w:pPr>
          <w:r>
            <w:rPr>
              <w:rFonts w:ascii="Times New Roman" w:hAnsi="Times New Roman"/>
              <w:lang w:val="es-EC" w:eastAsia="es-EC"/>
            </w:rPr>
            <w:drawing>
              <wp:inline distT="0" distB="0" distL="0" distR="0" wp14:anchorId="2C612EA9" wp14:editId="2747CD5B">
                <wp:extent cx="1442085" cy="132080"/>
                <wp:effectExtent l="0" t="0" r="571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02051"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085" cy="132080"/>
                        </a:xfrm>
                        <a:prstGeom prst="rect">
                          <a:avLst/>
                        </a:prstGeom>
                        <a:noFill/>
                        <a:ln>
                          <a:noFill/>
                        </a:ln>
                      </pic:spPr>
                    </pic:pic>
                  </a:graphicData>
                </a:graphic>
              </wp:inline>
            </w:drawing>
          </w:r>
        </w:p>
      </w:tc>
    </w:tr>
  </w:tbl>
  <w:p w:rsidR="00572DE8" w:rsidRPr="00620C38" w:rsidRDefault="00572DE8" w:rsidP="00620C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572DE8" w:rsidRPr="0077043A" w:rsidTr="00E273DA">
      <w:trPr>
        <w:trHeight w:hRule="exact" w:val="900"/>
      </w:trPr>
      <w:tc>
        <w:tcPr>
          <w:tcW w:w="6946" w:type="dxa"/>
          <w:vAlign w:val="bottom"/>
        </w:tcPr>
        <w:p w:rsidR="00572DE8" w:rsidRDefault="00572DE8" w:rsidP="006169DA">
          <w:pPr>
            <w:pStyle w:val="HeaderTitle"/>
            <w:ind w:left="720"/>
            <w:jc w:val="right"/>
          </w:pPr>
          <w:r>
            <w:rPr>
              <w:lang w:val="es-EC" w:eastAsia="es-EC"/>
            </w:rPr>
            <w:drawing>
              <wp:anchor distT="0" distB="0" distL="114300" distR="114300" simplePos="0" relativeHeight="251678720" behindDoc="0" locked="0" layoutInCell="1" allowOverlap="1" wp14:anchorId="00AD84DD" wp14:editId="1BCED520">
                <wp:simplePos x="0" y="0"/>
                <wp:positionH relativeFrom="column">
                  <wp:posOffset>-568960</wp:posOffset>
                </wp:positionH>
                <wp:positionV relativeFrom="paragraph">
                  <wp:posOffset>-626745</wp:posOffset>
                </wp:positionV>
                <wp:extent cx="6976800" cy="745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76800" cy="745200"/>
                        </a:xfrm>
                        <a:prstGeom prst="rect">
                          <a:avLst/>
                        </a:prstGeom>
                      </pic:spPr>
                    </pic:pic>
                  </a:graphicData>
                </a:graphic>
                <wp14:sizeRelH relativeFrom="page">
                  <wp14:pctWidth>0</wp14:pctWidth>
                </wp14:sizeRelH>
                <wp14:sizeRelV relativeFrom="page">
                  <wp14:pctHeight>0</wp14:pctHeight>
                </wp14:sizeRelV>
              </wp:anchor>
            </w:drawing>
          </w:r>
        </w:p>
      </w:tc>
      <w:tc>
        <w:tcPr>
          <w:tcW w:w="2410" w:type="dxa"/>
          <w:vAlign w:val="bottom"/>
        </w:tcPr>
        <w:p w:rsidR="00572DE8" w:rsidRPr="006A4582" w:rsidRDefault="00572DE8" w:rsidP="00E273DA">
          <w:pPr>
            <w:pStyle w:val="HeaderTitle"/>
            <w:jc w:val="right"/>
            <w:rPr>
              <w:rFonts w:ascii="Times New Roman" w:hAnsi="Times New Roman"/>
            </w:rPr>
          </w:pPr>
        </w:p>
      </w:tc>
    </w:tr>
  </w:tbl>
  <w:p w:rsidR="00572DE8" w:rsidRPr="00620C38" w:rsidRDefault="00572DE8" w:rsidP="00620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FCB"/>
    <w:multiLevelType w:val="hybridMultilevel"/>
    <w:tmpl w:val="2A58E95A"/>
    <w:lvl w:ilvl="0" w:tplc="9E04A5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3">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4">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6">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8">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9">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1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num w:numId="1">
    <w:abstractNumId w:val="4"/>
  </w:num>
  <w:num w:numId="2">
    <w:abstractNumId w:val="10"/>
  </w:num>
  <w:num w:numId="3">
    <w:abstractNumId w:val="3"/>
  </w:num>
  <w:num w:numId="4">
    <w:abstractNumId w:val="7"/>
  </w:num>
  <w:num w:numId="5">
    <w:abstractNumId w:val="6"/>
  </w:num>
  <w:num w:numId="6">
    <w:abstractNumId w:val="9"/>
  </w:num>
  <w:num w:numId="7">
    <w:abstractNumId w:val="8"/>
  </w:num>
  <w:num w:numId="8">
    <w:abstractNumId w:val="2"/>
  </w:num>
  <w:num w:numId="9">
    <w:abstractNumId w:val="1"/>
  </w:num>
  <w:num w:numId="10">
    <w:abstractNumId w:val="5"/>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6B"/>
    <w:rsid w:val="00012C0E"/>
    <w:rsid w:val="00040091"/>
    <w:rsid w:val="00076537"/>
    <w:rsid w:val="00087F71"/>
    <w:rsid w:val="0009598C"/>
    <w:rsid w:val="0009600A"/>
    <w:rsid w:val="000B22A4"/>
    <w:rsid w:val="000B7865"/>
    <w:rsid w:val="000C01D3"/>
    <w:rsid w:val="000D4FA5"/>
    <w:rsid w:val="000F5ABF"/>
    <w:rsid w:val="001636E1"/>
    <w:rsid w:val="001704C3"/>
    <w:rsid w:val="001810DA"/>
    <w:rsid w:val="001B2E78"/>
    <w:rsid w:val="001D69F6"/>
    <w:rsid w:val="00200C3A"/>
    <w:rsid w:val="00212E62"/>
    <w:rsid w:val="00213BB2"/>
    <w:rsid w:val="00251296"/>
    <w:rsid w:val="002A3B5E"/>
    <w:rsid w:val="002C035B"/>
    <w:rsid w:val="002D47F2"/>
    <w:rsid w:val="002E0A29"/>
    <w:rsid w:val="00304B3F"/>
    <w:rsid w:val="00322BFF"/>
    <w:rsid w:val="003565E4"/>
    <w:rsid w:val="0039323D"/>
    <w:rsid w:val="003D72A3"/>
    <w:rsid w:val="00435C34"/>
    <w:rsid w:val="0045070A"/>
    <w:rsid w:val="0048308F"/>
    <w:rsid w:val="004B34DF"/>
    <w:rsid w:val="004F1551"/>
    <w:rsid w:val="005100FF"/>
    <w:rsid w:val="00531B6F"/>
    <w:rsid w:val="00556360"/>
    <w:rsid w:val="00570A76"/>
    <w:rsid w:val="00572DE8"/>
    <w:rsid w:val="005A1B29"/>
    <w:rsid w:val="005A414A"/>
    <w:rsid w:val="005D57CB"/>
    <w:rsid w:val="005F10CE"/>
    <w:rsid w:val="005F4174"/>
    <w:rsid w:val="006169DA"/>
    <w:rsid w:val="00620C38"/>
    <w:rsid w:val="006233C9"/>
    <w:rsid w:val="0068005A"/>
    <w:rsid w:val="0069167F"/>
    <w:rsid w:val="00700930"/>
    <w:rsid w:val="00704738"/>
    <w:rsid w:val="00707ED0"/>
    <w:rsid w:val="00716182"/>
    <w:rsid w:val="00726A23"/>
    <w:rsid w:val="007327ED"/>
    <w:rsid w:val="007456B0"/>
    <w:rsid w:val="00773805"/>
    <w:rsid w:val="007A1DA0"/>
    <w:rsid w:val="007B0D88"/>
    <w:rsid w:val="007D264D"/>
    <w:rsid w:val="007F500D"/>
    <w:rsid w:val="008168BF"/>
    <w:rsid w:val="00837213"/>
    <w:rsid w:val="00843AB3"/>
    <w:rsid w:val="008629A7"/>
    <w:rsid w:val="008665B8"/>
    <w:rsid w:val="008E7252"/>
    <w:rsid w:val="009302FD"/>
    <w:rsid w:val="0093119A"/>
    <w:rsid w:val="00961367"/>
    <w:rsid w:val="009621BA"/>
    <w:rsid w:val="00975C5E"/>
    <w:rsid w:val="00980219"/>
    <w:rsid w:val="009911A9"/>
    <w:rsid w:val="00991CB8"/>
    <w:rsid w:val="00A11222"/>
    <w:rsid w:val="00A52BD3"/>
    <w:rsid w:val="00A52E5C"/>
    <w:rsid w:val="00A62DD1"/>
    <w:rsid w:val="00A6507E"/>
    <w:rsid w:val="00A921DA"/>
    <w:rsid w:val="00AC724C"/>
    <w:rsid w:val="00B72B93"/>
    <w:rsid w:val="00B85BE6"/>
    <w:rsid w:val="00B8716E"/>
    <w:rsid w:val="00BB58ED"/>
    <w:rsid w:val="00BC42AC"/>
    <w:rsid w:val="00BD4E32"/>
    <w:rsid w:val="00BE6CF3"/>
    <w:rsid w:val="00C156B2"/>
    <w:rsid w:val="00C607A8"/>
    <w:rsid w:val="00C8796E"/>
    <w:rsid w:val="00CB348E"/>
    <w:rsid w:val="00D176F0"/>
    <w:rsid w:val="00D300EC"/>
    <w:rsid w:val="00D37D0D"/>
    <w:rsid w:val="00D4266E"/>
    <w:rsid w:val="00D54852"/>
    <w:rsid w:val="00D6687B"/>
    <w:rsid w:val="00D76FED"/>
    <w:rsid w:val="00DA0370"/>
    <w:rsid w:val="00DA061F"/>
    <w:rsid w:val="00DA6B3E"/>
    <w:rsid w:val="00DE0C8E"/>
    <w:rsid w:val="00E008D4"/>
    <w:rsid w:val="00E273DA"/>
    <w:rsid w:val="00E30E46"/>
    <w:rsid w:val="00E836FA"/>
    <w:rsid w:val="00E90975"/>
    <w:rsid w:val="00F02FBC"/>
    <w:rsid w:val="00F35069"/>
    <w:rsid w:val="00F37349"/>
    <w:rsid w:val="00F8319F"/>
    <w:rsid w:val="00FB206B"/>
    <w:rsid w:val="00FD1A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table" w:customStyle="1" w:styleId="TableGrid1">
    <w:name w:val="Table Grid1"/>
    <w:basedOn w:val="TableNormal"/>
    <w:next w:val="TableGrid"/>
    <w:rsid w:val="001636E1"/>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636E1"/>
  </w:style>
  <w:style w:type="paragraph" w:styleId="ListParagraph">
    <w:name w:val="List Paragraph"/>
    <w:basedOn w:val="Normal"/>
    <w:uiPriority w:val="34"/>
    <w:qFormat/>
    <w:rsid w:val="00D37D0D"/>
    <w:pPr>
      <w:ind w:left="720"/>
      <w:contextualSpacing/>
    </w:pPr>
  </w:style>
  <w:style w:type="character" w:styleId="CommentReference">
    <w:name w:val="annotation reference"/>
    <w:basedOn w:val="DefaultParagraphFont"/>
    <w:uiPriority w:val="99"/>
    <w:semiHidden/>
    <w:unhideWhenUsed/>
    <w:rsid w:val="0009598C"/>
    <w:rPr>
      <w:sz w:val="16"/>
      <w:szCs w:val="16"/>
    </w:rPr>
  </w:style>
  <w:style w:type="paragraph" w:styleId="CommentText">
    <w:name w:val="annotation text"/>
    <w:basedOn w:val="Normal"/>
    <w:link w:val="CommentTextChar"/>
    <w:uiPriority w:val="99"/>
    <w:semiHidden/>
    <w:unhideWhenUsed/>
    <w:rsid w:val="0009598C"/>
    <w:pPr>
      <w:spacing w:line="240" w:lineRule="auto"/>
    </w:pPr>
  </w:style>
  <w:style w:type="character" w:customStyle="1" w:styleId="CommentTextChar">
    <w:name w:val="Comment Text Char"/>
    <w:basedOn w:val="DefaultParagraphFont"/>
    <w:link w:val="CommentText"/>
    <w:uiPriority w:val="99"/>
    <w:semiHidden/>
    <w:rsid w:val="0009598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9598C"/>
    <w:rPr>
      <w:b/>
      <w:bCs/>
    </w:rPr>
  </w:style>
  <w:style w:type="character" w:customStyle="1" w:styleId="CommentSubjectChar">
    <w:name w:val="Comment Subject Char"/>
    <w:basedOn w:val="CommentTextChar"/>
    <w:link w:val="CommentSubject"/>
    <w:uiPriority w:val="99"/>
    <w:semiHidden/>
    <w:rsid w:val="0009598C"/>
    <w:rPr>
      <w:rFonts w:ascii="Arial" w:eastAsia="Times New Roman" w:hAnsi="Arial" w:cs="Times New Roman"/>
      <w:b/>
      <w:bCs/>
      <w:sz w:val="20"/>
      <w:szCs w:val="20"/>
      <w:lang w:eastAsia="en-AU"/>
    </w:rPr>
  </w:style>
  <w:style w:type="paragraph" w:styleId="Revision">
    <w:name w:val="Revision"/>
    <w:hidden/>
    <w:uiPriority w:val="99"/>
    <w:semiHidden/>
    <w:rsid w:val="0009598C"/>
    <w:pPr>
      <w:spacing w:after="0" w:line="240" w:lineRule="auto"/>
    </w:pPr>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2D47F2"/>
    <w:rPr>
      <w:vertAlign w:val="superscript"/>
    </w:rPr>
  </w:style>
  <w:style w:type="paragraph" w:styleId="NormalWeb">
    <w:name w:val="Normal (Web)"/>
    <w:basedOn w:val="Normal"/>
    <w:uiPriority w:val="99"/>
    <w:semiHidden/>
    <w:unhideWhenUsed/>
    <w:rsid w:val="002D47F2"/>
    <w:pPr>
      <w:spacing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8665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table" w:customStyle="1" w:styleId="TableGrid1">
    <w:name w:val="Table Grid1"/>
    <w:basedOn w:val="TableNormal"/>
    <w:next w:val="TableGrid"/>
    <w:rsid w:val="001636E1"/>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636E1"/>
  </w:style>
  <w:style w:type="paragraph" w:styleId="ListParagraph">
    <w:name w:val="List Paragraph"/>
    <w:basedOn w:val="Normal"/>
    <w:uiPriority w:val="34"/>
    <w:qFormat/>
    <w:rsid w:val="00D37D0D"/>
    <w:pPr>
      <w:ind w:left="720"/>
      <w:contextualSpacing/>
    </w:pPr>
  </w:style>
  <w:style w:type="character" w:styleId="CommentReference">
    <w:name w:val="annotation reference"/>
    <w:basedOn w:val="DefaultParagraphFont"/>
    <w:uiPriority w:val="99"/>
    <w:semiHidden/>
    <w:unhideWhenUsed/>
    <w:rsid w:val="0009598C"/>
    <w:rPr>
      <w:sz w:val="16"/>
      <w:szCs w:val="16"/>
    </w:rPr>
  </w:style>
  <w:style w:type="paragraph" w:styleId="CommentText">
    <w:name w:val="annotation text"/>
    <w:basedOn w:val="Normal"/>
    <w:link w:val="CommentTextChar"/>
    <w:uiPriority w:val="99"/>
    <w:semiHidden/>
    <w:unhideWhenUsed/>
    <w:rsid w:val="0009598C"/>
    <w:pPr>
      <w:spacing w:line="240" w:lineRule="auto"/>
    </w:pPr>
  </w:style>
  <w:style w:type="character" w:customStyle="1" w:styleId="CommentTextChar">
    <w:name w:val="Comment Text Char"/>
    <w:basedOn w:val="DefaultParagraphFont"/>
    <w:link w:val="CommentText"/>
    <w:uiPriority w:val="99"/>
    <w:semiHidden/>
    <w:rsid w:val="0009598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9598C"/>
    <w:rPr>
      <w:b/>
      <w:bCs/>
    </w:rPr>
  </w:style>
  <w:style w:type="character" w:customStyle="1" w:styleId="CommentSubjectChar">
    <w:name w:val="Comment Subject Char"/>
    <w:basedOn w:val="CommentTextChar"/>
    <w:link w:val="CommentSubject"/>
    <w:uiPriority w:val="99"/>
    <w:semiHidden/>
    <w:rsid w:val="0009598C"/>
    <w:rPr>
      <w:rFonts w:ascii="Arial" w:eastAsia="Times New Roman" w:hAnsi="Arial" w:cs="Times New Roman"/>
      <w:b/>
      <w:bCs/>
      <w:sz w:val="20"/>
      <w:szCs w:val="20"/>
      <w:lang w:eastAsia="en-AU"/>
    </w:rPr>
  </w:style>
  <w:style w:type="paragraph" w:styleId="Revision">
    <w:name w:val="Revision"/>
    <w:hidden/>
    <w:uiPriority w:val="99"/>
    <w:semiHidden/>
    <w:rsid w:val="0009598C"/>
    <w:pPr>
      <w:spacing w:after="0" w:line="240" w:lineRule="auto"/>
    </w:pPr>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2D47F2"/>
    <w:rPr>
      <w:vertAlign w:val="superscript"/>
    </w:rPr>
  </w:style>
  <w:style w:type="paragraph" w:styleId="NormalWeb">
    <w:name w:val="Normal (Web)"/>
    <w:basedOn w:val="Normal"/>
    <w:uiPriority w:val="99"/>
    <w:semiHidden/>
    <w:unhideWhenUsed/>
    <w:rsid w:val="002D47F2"/>
    <w:pPr>
      <w:spacing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8665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8760">
      <w:bodyDiv w:val="1"/>
      <w:marLeft w:val="0"/>
      <w:marRight w:val="0"/>
      <w:marTop w:val="0"/>
      <w:marBottom w:val="0"/>
      <w:divBdr>
        <w:top w:val="none" w:sz="0" w:space="0" w:color="auto"/>
        <w:left w:val="none" w:sz="0" w:space="0" w:color="auto"/>
        <w:bottom w:val="none" w:sz="0" w:space="0" w:color="auto"/>
        <w:right w:val="none" w:sz="0" w:space="0" w:color="auto"/>
      </w:divBdr>
    </w:div>
    <w:div w:id="124129876">
      <w:bodyDiv w:val="1"/>
      <w:marLeft w:val="0"/>
      <w:marRight w:val="0"/>
      <w:marTop w:val="0"/>
      <w:marBottom w:val="0"/>
      <w:divBdr>
        <w:top w:val="none" w:sz="0" w:space="0" w:color="auto"/>
        <w:left w:val="none" w:sz="0" w:space="0" w:color="auto"/>
        <w:bottom w:val="none" w:sz="0" w:space="0" w:color="auto"/>
        <w:right w:val="none" w:sz="0" w:space="0" w:color="auto"/>
      </w:divBdr>
    </w:div>
    <w:div w:id="6361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go.gov.to/cms/images/LEGISLATION/PRINCIPAL/2002/2002-0039/BuildingControlandStandardsAct_2.pdf" TargetMode="External"/><Relationship Id="rId18" Type="http://schemas.openxmlformats.org/officeDocument/2006/relationships/hyperlink" Target="tel:++676%208869070" TargetMode="External"/><Relationship Id="rId26" Type="http://schemas.openxmlformats.org/officeDocument/2006/relationships/image" Target="media/image3.png"/><Relationship Id="rId39" Type="http://schemas.openxmlformats.org/officeDocument/2006/relationships/hyperlink" Target="file:///C:\Users\ptcm\AppData\Local\OpenText\DM\Temp\coord.pacific@sheltercluster.org" TargetMode="External"/><Relationship Id="rId3" Type="http://schemas.openxmlformats.org/officeDocument/2006/relationships/styles" Target="styles.xml"/><Relationship Id="rId21" Type="http://schemas.openxmlformats.org/officeDocument/2006/relationships/hyperlink" Target="tel:++679%209980173" TargetMode="External"/><Relationship Id="rId34" Type="http://schemas.openxmlformats.org/officeDocument/2006/relationships/hyperlink" Target="file:///C:\Users\ptcm\AppData\Local\OpenText\DM\Temp\levenih5@gmail.com"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ago.gov.to/cms/images/LEGISLATION/PRINCIPAL/2012/2012-0007/NationalSpatialPlanningandManagementAct_2.pdf" TargetMode="External"/><Relationship Id="rId17" Type="http://schemas.openxmlformats.org/officeDocument/2006/relationships/hyperlink" Target="file:///C:\Users\ptcm\AppData\Local\OpenText\DM\Temp\levenih5@gmail.com" TargetMode="External"/><Relationship Id="rId25" Type="http://schemas.openxmlformats.org/officeDocument/2006/relationships/footer" Target="footer1.xml"/><Relationship Id="rId33" Type="http://schemas.openxmlformats.org/officeDocument/2006/relationships/hyperlink" Target="tel:++676%208752500" TargetMode="External"/><Relationship Id="rId38" Type="http://schemas.openxmlformats.org/officeDocument/2006/relationships/hyperlink" Target="tel:++679%209980173" TargetMode="External"/><Relationship Id="rId2" Type="http://schemas.openxmlformats.org/officeDocument/2006/relationships/numbering" Target="numbering.xml"/><Relationship Id="rId16" Type="http://schemas.openxmlformats.org/officeDocument/2006/relationships/hyperlink" Target="tel:++676%208752500" TargetMode="External"/><Relationship Id="rId20" Type="http://schemas.openxmlformats.org/officeDocument/2006/relationships/hyperlink" Target="tel:++679%209980173" TargetMode="External"/><Relationship Id="rId29" Type="http://schemas.openxmlformats.org/officeDocument/2006/relationships/hyperlink" Target="https://ago.gov.to/cms/images/LEGISLATION/PRINCIPAL/2012/2012-0007/NationalSpatialPlanningandManagementAct_2.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go.gov.to/cms/images/LEGISLATION/PRINCIPAL/1903/1903-0020/LandAct_2.pdf" TargetMode="External"/><Relationship Id="rId24" Type="http://schemas.openxmlformats.org/officeDocument/2006/relationships/header" Target="header2.xml"/><Relationship Id="rId32" Type="http://schemas.openxmlformats.org/officeDocument/2006/relationships/hyperlink" Target="file:///C:\Users\ptcm\AppData\Local\OpenText\DM\Temp\mfotuvei@gmail.com" TargetMode="External"/><Relationship Id="rId37" Type="http://schemas.openxmlformats.org/officeDocument/2006/relationships/hyperlink" Target="tel:++679%209980173"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ptcm\AppData\Local\OpenText\DM\Temp\mfotuvei@gmail.com" TargetMode="External"/><Relationship Id="rId23" Type="http://schemas.openxmlformats.org/officeDocument/2006/relationships/header" Target="header1.xml"/><Relationship Id="rId28" Type="http://schemas.openxmlformats.org/officeDocument/2006/relationships/hyperlink" Target="https://ago.gov.to/cms/images/LEGISLATION/PRINCIPAL/1903/1903-0020/LandAct_2.pdf" TargetMode="External"/><Relationship Id="rId36" Type="http://schemas.openxmlformats.org/officeDocument/2006/relationships/hyperlink" Target="file:///C:\Users\ptcm\AppData\Local\OpenText\DM\Temp\carreylvaea@gmail.com" TargetMode="External"/><Relationship Id="rId10" Type="http://schemas.openxmlformats.org/officeDocument/2006/relationships/hyperlink" Target="https://ago.gov.to/cms/images/LEGISLATION/PRINCIPAL/1988/1988-0002/ConstitutionofTonga.pdf_2.pdf" TargetMode="External"/><Relationship Id="rId19" Type="http://schemas.openxmlformats.org/officeDocument/2006/relationships/hyperlink" Target="file:///C:\Users\ptcm\AppData\Local\OpenText\DM\Temp\carreylvaea@gmail.com" TargetMode="External"/><Relationship Id="rId31" Type="http://schemas.openxmlformats.org/officeDocument/2006/relationships/hyperlink" Target="mailto:ktonga@infrastructure.gov.to"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emarshall@redcross.org.au" TargetMode="External"/><Relationship Id="rId14" Type="http://schemas.openxmlformats.org/officeDocument/2006/relationships/hyperlink" Target="mailto:ktonga@infrastructure.gov.to" TargetMode="External"/><Relationship Id="rId22" Type="http://schemas.openxmlformats.org/officeDocument/2006/relationships/hyperlink" Target="file:///C:\Users\ptcm\AppData\Local\OpenText\DM\Temp\coord.pacific@sheltercluster.org" TargetMode="External"/><Relationship Id="rId27" Type="http://schemas.openxmlformats.org/officeDocument/2006/relationships/hyperlink" Target="https://ago.gov.to/cms/images/LEGISLATION/PRINCIPAL/1988/1988-0002/ConstitutionofTonga.pdf_2.pdf" TargetMode="External"/><Relationship Id="rId30" Type="http://schemas.openxmlformats.org/officeDocument/2006/relationships/hyperlink" Target="https://ago.gov.to/cms/images/LEGISLATION/PRINCIPAL/2002/2002-0039/BuildingControlandStandardsAct_2.pdf" TargetMode="External"/><Relationship Id="rId35" Type="http://schemas.openxmlformats.org/officeDocument/2006/relationships/hyperlink" Target="tel:++676%208869070" TargetMode="External"/><Relationship Id="rId43"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CD11-729B-4900-8792-E72BB865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8997</Words>
  <Characters>49487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Australian Red Cross</Company>
  <LinksUpToDate>false</LinksUpToDate>
  <CharactersWithSpaces>58368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Red Cross</dc:creator>
  <cp:lastModifiedBy>Australian Red Cross</cp:lastModifiedBy>
  <cp:revision>7</cp:revision>
  <dcterms:created xsi:type="dcterms:W3CDTF">2018-05-23T06:41:00Z</dcterms:created>
  <dcterms:modified xsi:type="dcterms:W3CDTF">2018-05-24T08:16:00Z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rrmm A0139034748v3 120641715 </vt:lpwstr>
  </property>
  <property fmtid="{D5CDD505-2E9C-101B-9397-08002B2CF9AE}" pid="3" name="DOCSDocNumber">
    <vt:lpwstr>39034748</vt:lpwstr>
  </property>
  <property fmtid="{D5CDD505-2E9C-101B-9397-08002B2CF9AE}" pid="4" name="DOCSDocumentID">
    <vt:lpwstr>A0139034748</vt:lpwstr>
  </property>
</Properties>
</file>