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18" w:rsidRDefault="00930DD3" w:rsidP="00B07118">
      <w:pPr>
        <w:rPr>
          <w:b/>
          <w:bCs/>
          <w:u w:val="single"/>
          <w:lang w:val="en-GB"/>
        </w:rPr>
      </w:pPr>
      <w:bookmarkStart w:id="0" w:name="_GoBack"/>
      <w:bookmarkEnd w:id="0"/>
      <w:r>
        <w:rPr>
          <w:b/>
          <w:bCs/>
          <w:noProof/>
          <w:u w:val="single"/>
        </w:rPr>
        <w:drawing>
          <wp:anchor distT="0" distB="0" distL="114300" distR="114300" simplePos="0" relativeHeight="251658752" behindDoc="1" locked="0" layoutInCell="1" allowOverlap="1">
            <wp:simplePos x="0" y="0"/>
            <wp:positionH relativeFrom="column">
              <wp:posOffset>2552700</wp:posOffset>
            </wp:positionH>
            <wp:positionV relativeFrom="paragraph">
              <wp:posOffset>0</wp:posOffset>
            </wp:positionV>
            <wp:extent cx="638175" cy="62865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8175" cy="628650"/>
                    </a:xfrm>
                    <a:prstGeom prst="rect">
                      <a:avLst/>
                    </a:prstGeom>
                    <a:noFill/>
                  </pic:spPr>
                </pic:pic>
              </a:graphicData>
            </a:graphic>
          </wp:anchor>
        </w:drawing>
      </w:r>
      <w:r w:rsidR="00F10288">
        <w:rPr>
          <w:b/>
          <w:bCs/>
          <w:noProof/>
          <w:u w:val="single"/>
        </w:rPr>
        <w:drawing>
          <wp:anchor distT="0" distB="0" distL="114300" distR="114300" simplePos="0" relativeHeight="251657728" behindDoc="1" locked="0" layoutInCell="1" allowOverlap="1">
            <wp:simplePos x="0" y="0"/>
            <wp:positionH relativeFrom="column">
              <wp:posOffset>1905000</wp:posOffset>
            </wp:positionH>
            <wp:positionV relativeFrom="paragraph">
              <wp:posOffset>-749300</wp:posOffset>
            </wp:positionV>
            <wp:extent cx="1871980" cy="922655"/>
            <wp:effectExtent l="19050" t="0" r="0" b="0"/>
            <wp:wrapTight wrapText="bothSides">
              <wp:wrapPolygon edited="0">
                <wp:start x="9891" y="0"/>
                <wp:lineTo x="-220" y="1784"/>
                <wp:lineTo x="-220" y="19623"/>
                <wp:lineTo x="1978" y="20961"/>
                <wp:lineTo x="9891" y="20961"/>
                <wp:lineTo x="21541" y="20961"/>
                <wp:lineTo x="21541" y="0"/>
                <wp:lineTo x="9891" y="0"/>
              </wp:wrapPolygon>
            </wp:wrapTight>
            <wp:docPr id="2" name="Picture 1" descr="Description: https://gallery.mailchimp.com/8173eed01e68ce76256aba23b/images/UN_Lebanon_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gallery.mailchimp.com/8173eed01e68ce76256aba23b/images/UN_Lebanon_tree.png"/>
                    <pic:cNvPicPr>
                      <a:picLocks noChangeAspect="1" noChangeArrowheads="1"/>
                    </pic:cNvPicPr>
                  </pic:nvPicPr>
                  <pic:blipFill>
                    <a:blip r:embed="rId10" cstate="print"/>
                    <a:srcRect/>
                    <a:stretch>
                      <a:fillRect/>
                    </a:stretch>
                  </pic:blipFill>
                  <pic:spPr bwMode="auto">
                    <a:xfrm>
                      <a:off x="0" y="0"/>
                      <a:ext cx="1871980" cy="922655"/>
                    </a:xfrm>
                    <a:prstGeom prst="rect">
                      <a:avLst/>
                    </a:prstGeom>
                    <a:noFill/>
                    <a:ln w="9525">
                      <a:noFill/>
                      <a:miter lim="800000"/>
                      <a:headEnd/>
                      <a:tailEnd/>
                    </a:ln>
                  </pic:spPr>
                </pic:pic>
              </a:graphicData>
            </a:graphic>
          </wp:anchor>
        </w:drawing>
      </w:r>
    </w:p>
    <w:p w:rsidR="00930DD3" w:rsidRDefault="00930DD3" w:rsidP="00F851D1">
      <w:pPr>
        <w:jc w:val="center"/>
        <w:rPr>
          <w:b/>
          <w:bCs/>
          <w:sz w:val="28"/>
          <w:szCs w:val="28"/>
          <w:lang w:val="en-GB"/>
        </w:rPr>
      </w:pPr>
    </w:p>
    <w:p w:rsidR="0019744B" w:rsidRPr="00CB35AA" w:rsidRDefault="0019744B" w:rsidP="00F851D1">
      <w:pPr>
        <w:jc w:val="center"/>
        <w:rPr>
          <w:b/>
          <w:bCs/>
          <w:sz w:val="28"/>
          <w:szCs w:val="28"/>
          <w:lang w:val="en-GB"/>
        </w:rPr>
      </w:pPr>
      <w:r w:rsidRPr="00CB35AA">
        <w:rPr>
          <w:b/>
          <w:bCs/>
          <w:sz w:val="28"/>
          <w:szCs w:val="28"/>
          <w:lang w:val="en-GB"/>
        </w:rPr>
        <w:t>Terms of Reference</w:t>
      </w:r>
    </w:p>
    <w:p w:rsidR="00930DD3" w:rsidRDefault="00EF0FFD" w:rsidP="00930DD3">
      <w:pPr>
        <w:spacing w:after="0" w:line="240" w:lineRule="auto"/>
        <w:jc w:val="center"/>
        <w:rPr>
          <w:b/>
          <w:bCs/>
          <w:sz w:val="28"/>
          <w:szCs w:val="28"/>
          <w:lang w:val="en-GB"/>
        </w:rPr>
      </w:pPr>
      <w:r>
        <w:rPr>
          <w:b/>
          <w:bCs/>
          <w:sz w:val="28"/>
          <w:szCs w:val="28"/>
          <w:lang w:val="en-GB"/>
        </w:rPr>
        <w:t>Protection</w:t>
      </w:r>
      <w:r w:rsidR="0019744B" w:rsidRPr="00CB35AA">
        <w:rPr>
          <w:b/>
          <w:bCs/>
          <w:sz w:val="28"/>
          <w:szCs w:val="28"/>
          <w:lang w:val="en-GB"/>
        </w:rPr>
        <w:t xml:space="preserve"> Sector</w:t>
      </w:r>
      <w:r w:rsidR="00897E98" w:rsidRPr="00CB35AA">
        <w:rPr>
          <w:b/>
          <w:bCs/>
          <w:sz w:val="28"/>
          <w:szCs w:val="28"/>
          <w:lang w:val="en-GB"/>
        </w:rPr>
        <w:t xml:space="preserve"> </w:t>
      </w:r>
    </w:p>
    <w:p w:rsidR="008571F7" w:rsidRPr="002B20B1" w:rsidRDefault="00930DD3" w:rsidP="00930DD3">
      <w:pPr>
        <w:spacing w:after="0" w:line="240" w:lineRule="auto"/>
        <w:jc w:val="center"/>
        <w:rPr>
          <w:lang w:val="en-GB"/>
        </w:rPr>
      </w:pPr>
      <w:r>
        <w:rPr>
          <w:b/>
          <w:bCs/>
          <w:sz w:val="28"/>
          <w:szCs w:val="28"/>
          <w:lang w:val="en-GB"/>
        </w:rPr>
        <w:t>National Protection Working Group</w:t>
      </w:r>
    </w:p>
    <w:p w:rsidR="008571F7" w:rsidRPr="008571F7" w:rsidRDefault="008571F7" w:rsidP="008571F7">
      <w:pPr>
        <w:spacing w:after="0" w:line="240" w:lineRule="auto"/>
        <w:jc w:val="center"/>
        <w:rPr>
          <w:lang w:val="en-GB"/>
        </w:rPr>
      </w:pPr>
    </w:p>
    <w:p w:rsidR="0019744B" w:rsidRDefault="0019744B" w:rsidP="00CB35AA">
      <w:pPr>
        <w:spacing w:after="120" w:line="240" w:lineRule="auto"/>
        <w:jc w:val="both"/>
        <w:rPr>
          <w:b/>
          <w:bCs/>
          <w:lang w:val="en-GB"/>
        </w:rPr>
      </w:pPr>
      <w:r w:rsidRPr="00C81000">
        <w:rPr>
          <w:b/>
          <w:bCs/>
          <w:lang w:val="en-GB"/>
        </w:rPr>
        <w:t>Background</w:t>
      </w:r>
    </w:p>
    <w:p w:rsidR="002B20B1" w:rsidRPr="0028380A" w:rsidRDefault="00E7188A" w:rsidP="00CB35AA">
      <w:pPr>
        <w:spacing w:after="120" w:line="240" w:lineRule="auto"/>
        <w:jc w:val="both"/>
      </w:pPr>
      <w:r w:rsidRPr="0028380A">
        <w:rPr>
          <w:lang w:val="en-GB"/>
        </w:rPr>
        <w:t>Lebanon hosts the largest Syrian refugee population in the re</w:t>
      </w:r>
      <w:r w:rsidR="00C81000" w:rsidRPr="0028380A">
        <w:rPr>
          <w:lang w:val="en-GB"/>
        </w:rPr>
        <w:t>gion</w:t>
      </w:r>
      <w:r w:rsidRPr="0028380A">
        <w:rPr>
          <w:lang w:val="en-GB"/>
        </w:rPr>
        <w:t>.</w:t>
      </w:r>
      <w:r w:rsidR="00C81000" w:rsidRPr="0028380A">
        <w:rPr>
          <w:lang w:val="en-GB"/>
        </w:rPr>
        <w:t xml:space="preserve"> </w:t>
      </w:r>
      <w:r w:rsidR="00CB35AA" w:rsidRPr="0028380A">
        <w:rPr>
          <w:lang w:val="en-GB"/>
        </w:rPr>
        <w:t xml:space="preserve"> </w:t>
      </w:r>
      <w:r w:rsidR="000C590F" w:rsidRPr="0028380A">
        <w:t xml:space="preserve">In addition, </w:t>
      </w:r>
      <w:r w:rsidR="00CD5062" w:rsidRPr="0028380A">
        <w:t>in Lebanon</w:t>
      </w:r>
      <w:r w:rsidR="000C590F" w:rsidRPr="0028380A">
        <w:t xml:space="preserve"> </w:t>
      </w:r>
      <w:r w:rsidR="00FF1C3E" w:rsidRPr="0028380A">
        <w:t>there are more than 52,000</w:t>
      </w:r>
      <w:r w:rsidR="000C590F" w:rsidRPr="0028380A">
        <w:t xml:space="preserve"> Palestine Refugees </w:t>
      </w:r>
      <w:r w:rsidR="00D66700" w:rsidRPr="0028380A">
        <w:t xml:space="preserve">that fled </w:t>
      </w:r>
      <w:r w:rsidR="000C590F" w:rsidRPr="0028380A">
        <w:t>from Syria</w:t>
      </w:r>
      <w:r w:rsidR="00CD5062" w:rsidRPr="0028380A">
        <w:t xml:space="preserve"> as a consequence of the conflict</w:t>
      </w:r>
      <w:r w:rsidR="000C590F" w:rsidRPr="0028380A">
        <w:t xml:space="preserve">. </w:t>
      </w:r>
      <w:r w:rsidRPr="0028380A">
        <w:rPr>
          <w:lang w:val="en-GB"/>
        </w:rPr>
        <w:t xml:space="preserve">Since the outset of the </w:t>
      </w:r>
      <w:r w:rsidR="00156541" w:rsidRPr="0028380A">
        <w:rPr>
          <w:lang w:val="en-GB"/>
        </w:rPr>
        <w:t>influx</w:t>
      </w:r>
      <w:r w:rsidRPr="0028380A">
        <w:rPr>
          <w:lang w:val="en-GB"/>
        </w:rPr>
        <w:t xml:space="preserve"> in 2011, </w:t>
      </w:r>
      <w:r w:rsidR="00935E3A" w:rsidRPr="0028380A">
        <w:rPr>
          <w:lang w:val="en-GB"/>
        </w:rPr>
        <w:t xml:space="preserve">the Government of Lebanon and </w:t>
      </w:r>
      <w:r w:rsidRPr="0028380A">
        <w:rPr>
          <w:lang w:val="en-GB"/>
        </w:rPr>
        <w:t>UNHCR</w:t>
      </w:r>
      <w:r w:rsidR="00935E3A" w:rsidRPr="0028380A">
        <w:rPr>
          <w:lang w:val="en-GB"/>
        </w:rPr>
        <w:t xml:space="preserve"> have established a</w:t>
      </w:r>
      <w:r w:rsidR="009F40A1" w:rsidRPr="0028380A">
        <w:rPr>
          <w:lang w:val="en-GB"/>
        </w:rPr>
        <w:t>n inter-agency (IA)</w:t>
      </w:r>
      <w:r w:rsidR="00935E3A" w:rsidRPr="0028380A">
        <w:rPr>
          <w:lang w:val="en-GB"/>
        </w:rPr>
        <w:t xml:space="preserve"> mechanism to coordinate the humanitarian response</w:t>
      </w:r>
      <w:r w:rsidRPr="0028380A">
        <w:rPr>
          <w:lang w:val="en-GB"/>
        </w:rPr>
        <w:t>.</w:t>
      </w:r>
      <w:r w:rsidR="00CB35AA" w:rsidRPr="0028380A">
        <w:rPr>
          <w:lang w:val="en-GB"/>
        </w:rPr>
        <w:t xml:space="preserve"> </w:t>
      </w:r>
      <w:r w:rsidRPr="0028380A">
        <w:rPr>
          <w:lang w:val="en-GB"/>
        </w:rPr>
        <w:t xml:space="preserve"> </w:t>
      </w:r>
      <w:r w:rsidR="00935E3A" w:rsidRPr="0028380A">
        <w:rPr>
          <w:lang w:val="en-GB"/>
        </w:rPr>
        <w:t>It now</w:t>
      </w:r>
      <w:r w:rsidRPr="0028380A">
        <w:rPr>
          <w:lang w:val="en-GB"/>
        </w:rPr>
        <w:t xml:space="preserve"> encompass</w:t>
      </w:r>
      <w:r w:rsidR="00935E3A" w:rsidRPr="0028380A">
        <w:rPr>
          <w:lang w:val="en-GB"/>
        </w:rPr>
        <w:t>es</w:t>
      </w:r>
      <w:r w:rsidRPr="0028380A">
        <w:rPr>
          <w:lang w:val="en-GB"/>
        </w:rPr>
        <w:t xml:space="preserve"> coordination within and across all sectors in al</w:t>
      </w:r>
      <w:r w:rsidR="00935E3A" w:rsidRPr="0028380A">
        <w:rPr>
          <w:lang w:val="en-GB"/>
        </w:rPr>
        <w:t xml:space="preserve">l field locations and in Beirut, and has </w:t>
      </w:r>
      <w:r w:rsidRPr="0028380A">
        <w:rPr>
          <w:lang w:val="en-GB"/>
        </w:rPr>
        <w:t>draw</w:t>
      </w:r>
      <w:r w:rsidR="00935E3A" w:rsidRPr="0028380A">
        <w:rPr>
          <w:lang w:val="en-GB"/>
        </w:rPr>
        <w:t>n</w:t>
      </w:r>
      <w:r w:rsidRPr="0028380A">
        <w:rPr>
          <w:lang w:val="en-GB"/>
        </w:rPr>
        <w:t xml:space="preserve"> on UN agencies</w:t>
      </w:r>
      <w:r w:rsidR="00935E3A" w:rsidRPr="0028380A">
        <w:rPr>
          <w:lang w:val="en-GB"/>
        </w:rPr>
        <w:t>’</w:t>
      </w:r>
      <w:r w:rsidR="002B20B1" w:rsidRPr="0028380A">
        <w:rPr>
          <w:lang w:val="en-GB"/>
        </w:rPr>
        <w:t xml:space="preserve"> and NGO</w:t>
      </w:r>
      <w:r w:rsidRPr="0028380A">
        <w:rPr>
          <w:lang w:val="en-GB"/>
        </w:rPr>
        <w:t xml:space="preserve"> comparative ex</w:t>
      </w:r>
      <w:r w:rsidR="00156541" w:rsidRPr="0028380A">
        <w:rPr>
          <w:lang w:val="en-GB"/>
        </w:rPr>
        <w:t>p</w:t>
      </w:r>
      <w:r w:rsidRPr="0028380A">
        <w:rPr>
          <w:lang w:val="en-GB"/>
        </w:rPr>
        <w:t>ertise, supported by an integrated information management system.</w:t>
      </w:r>
      <w:r w:rsidR="00CB35AA" w:rsidRPr="0028380A">
        <w:rPr>
          <w:lang w:val="en-GB"/>
        </w:rPr>
        <w:t xml:space="preserve"> </w:t>
      </w:r>
      <w:r w:rsidRPr="0028380A">
        <w:rPr>
          <w:lang w:val="en-GB"/>
        </w:rPr>
        <w:t xml:space="preserve"> </w:t>
      </w:r>
      <w:r w:rsidR="00897E98" w:rsidRPr="0028380A">
        <w:rPr>
          <w:lang w:val="en-GB"/>
        </w:rPr>
        <w:t xml:space="preserve">Each sector has a working group which is led by government, UN and NGO </w:t>
      </w:r>
      <w:r w:rsidR="0007533B" w:rsidRPr="0028380A">
        <w:rPr>
          <w:lang w:val="en-GB"/>
        </w:rPr>
        <w:t xml:space="preserve">agency </w:t>
      </w:r>
      <w:r w:rsidR="00897E98" w:rsidRPr="0028380A">
        <w:rPr>
          <w:lang w:val="en-GB"/>
        </w:rPr>
        <w:t>accordi</w:t>
      </w:r>
      <w:r w:rsidR="00464D8C" w:rsidRPr="0028380A">
        <w:rPr>
          <w:lang w:val="en-GB"/>
        </w:rPr>
        <w:t>ng to these terms of reference.</w:t>
      </w:r>
      <w:r w:rsidR="006904ED" w:rsidRPr="0028380A">
        <w:rPr>
          <w:lang w:val="en-GB"/>
        </w:rPr>
        <w:t xml:space="preserve"> Working Groups for each sector are also established at field level to ensure strong and effective coordination close to the point of delivery and </w:t>
      </w:r>
      <w:r w:rsidR="006904ED" w:rsidRPr="0028380A">
        <w:t xml:space="preserve">to enable decentralized operational decision making reflecting the protection priorities of the area. </w:t>
      </w:r>
      <w:r w:rsidR="00302DD3" w:rsidRPr="0028380A">
        <w:t xml:space="preserve">They also report to the national PWG. </w:t>
      </w:r>
    </w:p>
    <w:p w:rsidR="00302DD3" w:rsidRPr="0028380A" w:rsidRDefault="00302DD3" w:rsidP="00CB35AA">
      <w:pPr>
        <w:spacing w:after="120" w:line="240" w:lineRule="auto"/>
        <w:jc w:val="both"/>
      </w:pPr>
    </w:p>
    <w:p w:rsidR="002B20B1" w:rsidRPr="0028380A" w:rsidRDefault="00897E98" w:rsidP="00CB35AA">
      <w:pPr>
        <w:spacing w:after="120" w:line="240" w:lineRule="auto"/>
        <w:jc w:val="both"/>
        <w:rPr>
          <w:b/>
          <w:bCs/>
          <w:lang w:val="en-GB"/>
        </w:rPr>
      </w:pPr>
      <w:r w:rsidRPr="0028380A">
        <w:rPr>
          <w:b/>
          <w:bCs/>
          <w:lang w:val="en-GB"/>
        </w:rPr>
        <w:t>Structure</w:t>
      </w:r>
    </w:p>
    <w:p w:rsidR="00A70F6B" w:rsidRPr="0028380A" w:rsidRDefault="002B20B1" w:rsidP="00CB35AA">
      <w:pPr>
        <w:spacing w:after="120" w:line="240" w:lineRule="auto"/>
        <w:jc w:val="both"/>
        <w:rPr>
          <w:lang w:val="en-GB"/>
        </w:rPr>
      </w:pPr>
      <w:r w:rsidRPr="0028380A">
        <w:rPr>
          <w:lang w:val="en-GB"/>
        </w:rPr>
        <w:t xml:space="preserve">The </w:t>
      </w:r>
      <w:r w:rsidR="006904ED" w:rsidRPr="0028380A">
        <w:rPr>
          <w:lang w:val="en-GB"/>
        </w:rPr>
        <w:t xml:space="preserve">national </w:t>
      </w:r>
      <w:r w:rsidR="00A571BD" w:rsidRPr="0028380A">
        <w:rPr>
          <w:lang w:val="en-GB"/>
        </w:rPr>
        <w:t xml:space="preserve">Protection </w:t>
      </w:r>
      <w:r w:rsidRPr="0028380A">
        <w:rPr>
          <w:lang w:val="en-GB"/>
        </w:rPr>
        <w:t>Working Group (</w:t>
      </w:r>
      <w:r w:rsidR="00A571BD" w:rsidRPr="0028380A">
        <w:rPr>
          <w:lang w:val="en-GB"/>
        </w:rPr>
        <w:t>P</w:t>
      </w:r>
      <w:r w:rsidRPr="0028380A">
        <w:rPr>
          <w:lang w:val="en-GB"/>
        </w:rPr>
        <w:t xml:space="preserve">WG) is open to all humanitarian operational partners intervening in the </w:t>
      </w:r>
      <w:r w:rsidR="00A571BD" w:rsidRPr="0028380A">
        <w:rPr>
          <w:lang w:val="en-GB"/>
        </w:rPr>
        <w:t>Protection</w:t>
      </w:r>
      <w:r w:rsidRPr="0028380A">
        <w:rPr>
          <w:lang w:val="en-GB"/>
        </w:rPr>
        <w:t xml:space="preserve"> sector, be they Government, UN/inter-governmental organisations, or non-governmental organisations (both national and international) that are abiding by established humanitarian principles in the delivery of t</w:t>
      </w:r>
      <w:r w:rsidR="00A70F6B" w:rsidRPr="0028380A">
        <w:rPr>
          <w:lang w:val="en-GB"/>
        </w:rPr>
        <w:t xml:space="preserve">heir humanitarian interventions (including SEA commitments) and have particular expertise in </w:t>
      </w:r>
      <w:r w:rsidR="0021289D" w:rsidRPr="0028380A">
        <w:rPr>
          <w:lang w:val="en-GB"/>
        </w:rPr>
        <w:t>the field of Protection</w:t>
      </w:r>
      <w:r w:rsidR="00A70F6B" w:rsidRPr="0028380A">
        <w:rPr>
          <w:lang w:val="en-GB"/>
        </w:rPr>
        <w:t>.</w:t>
      </w:r>
    </w:p>
    <w:p w:rsidR="00370C27" w:rsidRPr="0028380A" w:rsidRDefault="00370C27" w:rsidP="004A1DBD">
      <w:pPr>
        <w:pStyle w:val="ListParagraph1"/>
        <w:ind w:left="57"/>
        <w:jc w:val="both"/>
        <w:rPr>
          <w:lang w:val="en-GB"/>
        </w:rPr>
      </w:pPr>
      <w:r w:rsidRPr="0028380A">
        <w:rPr>
          <w:lang w:val="en-GB"/>
        </w:rPr>
        <w:t>The PWG at the national level draws participation from protection-related forums and areas of responsibility. These include:</w:t>
      </w:r>
    </w:p>
    <w:p w:rsidR="00370C27" w:rsidRPr="0028380A" w:rsidRDefault="00370C27" w:rsidP="00370C27">
      <w:pPr>
        <w:pStyle w:val="ListParagraph1"/>
        <w:numPr>
          <w:ilvl w:val="0"/>
          <w:numId w:val="21"/>
        </w:numPr>
        <w:jc w:val="both"/>
        <w:rPr>
          <w:lang w:val="en-GB"/>
        </w:rPr>
      </w:pPr>
      <w:r w:rsidRPr="0028380A">
        <w:rPr>
          <w:lang w:val="en-GB"/>
        </w:rPr>
        <w:t>Protection Working Groups (PWG) at the field level</w:t>
      </w:r>
    </w:p>
    <w:p w:rsidR="00370C27" w:rsidRPr="0028380A" w:rsidRDefault="00370C27" w:rsidP="00370C27">
      <w:pPr>
        <w:pStyle w:val="ListParagraph1"/>
        <w:numPr>
          <w:ilvl w:val="0"/>
          <w:numId w:val="21"/>
        </w:numPr>
        <w:jc w:val="both"/>
        <w:rPr>
          <w:lang w:val="en-GB"/>
        </w:rPr>
      </w:pPr>
      <w:r w:rsidRPr="0028380A">
        <w:rPr>
          <w:lang w:val="en-GB"/>
        </w:rPr>
        <w:t>Child Protection in Emergencies Working Group (</w:t>
      </w:r>
      <w:proofErr w:type="spellStart"/>
      <w:r w:rsidRPr="0028380A">
        <w:rPr>
          <w:lang w:val="en-GB"/>
        </w:rPr>
        <w:t>CPiEWG</w:t>
      </w:r>
      <w:proofErr w:type="spellEnd"/>
      <w:r w:rsidRPr="0028380A">
        <w:rPr>
          <w:lang w:val="en-GB"/>
        </w:rPr>
        <w:t>) at the national level</w:t>
      </w:r>
    </w:p>
    <w:p w:rsidR="00370C27" w:rsidRPr="0028380A" w:rsidRDefault="00370C27" w:rsidP="00370C27">
      <w:pPr>
        <w:pStyle w:val="ListParagraph1"/>
        <w:numPr>
          <w:ilvl w:val="0"/>
          <w:numId w:val="21"/>
        </w:numPr>
        <w:jc w:val="both"/>
        <w:rPr>
          <w:lang w:val="en-GB"/>
        </w:rPr>
      </w:pPr>
      <w:r w:rsidRPr="0028380A">
        <w:rPr>
          <w:lang w:val="en-GB"/>
        </w:rPr>
        <w:t>SGBV Task Force at the national level</w:t>
      </w:r>
    </w:p>
    <w:p w:rsidR="00991F32" w:rsidRPr="0028380A" w:rsidRDefault="00991F32" w:rsidP="00991F32">
      <w:pPr>
        <w:pStyle w:val="ListParagraph1"/>
        <w:numPr>
          <w:ilvl w:val="0"/>
          <w:numId w:val="21"/>
        </w:numPr>
        <w:jc w:val="both"/>
        <w:rPr>
          <w:lang w:val="en-GB"/>
        </w:rPr>
      </w:pPr>
      <w:r w:rsidRPr="0028380A">
        <w:rPr>
          <w:lang w:val="en-GB"/>
        </w:rPr>
        <w:t>The cross-</w:t>
      </w:r>
      <w:proofErr w:type="spellStart"/>
      <w:r w:rsidRPr="0028380A">
        <w:rPr>
          <w:lang w:val="en-GB"/>
        </w:rPr>
        <w:t>sectoral</w:t>
      </w:r>
      <w:proofErr w:type="spellEnd"/>
      <w:r w:rsidRPr="0028380A">
        <w:rPr>
          <w:lang w:val="en-GB"/>
        </w:rPr>
        <w:t xml:space="preserve"> Di</w:t>
      </w:r>
      <w:r w:rsidR="002911C4">
        <w:rPr>
          <w:lang w:val="en-GB"/>
        </w:rPr>
        <w:t>sability and Older Age Working G</w:t>
      </w:r>
      <w:r w:rsidRPr="0028380A">
        <w:rPr>
          <w:lang w:val="en-GB"/>
        </w:rPr>
        <w:t>roup, created at national level in June 2013</w:t>
      </w:r>
    </w:p>
    <w:p w:rsidR="00285622" w:rsidRPr="0028380A" w:rsidRDefault="00897E98" w:rsidP="002911C4">
      <w:pPr>
        <w:spacing w:after="120" w:line="240" w:lineRule="auto"/>
        <w:jc w:val="both"/>
        <w:rPr>
          <w:lang w:val="en-GB"/>
        </w:rPr>
      </w:pPr>
      <w:r w:rsidRPr="0028380A">
        <w:rPr>
          <w:lang w:val="en-GB"/>
        </w:rPr>
        <w:t xml:space="preserve">The </w:t>
      </w:r>
      <w:r w:rsidR="00370C27" w:rsidRPr="0028380A">
        <w:rPr>
          <w:lang w:val="en-GB"/>
        </w:rPr>
        <w:t>P</w:t>
      </w:r>
      <w:r w:rsidRPr="0028380A">
        <w:rPr>
          <w:lang w:val="en-GB"/>
        </w:rPr>
        <w:t xml:space="preserve">WG shall be led by </w:t>
      </w:r>
      <w:r w:rsidR="00F07818" w:rsidRPr="0028380A">
        <w:rPr>
          <w:lang w:val="en-GB"/>
        </w:rPr>
        <w:t xml:space="preserve">the Ministry </w:t>
      </w:r>
      <w:r w:rsidR="002911C4">
        <w:rPr>
          <w:lang w:val="en-GB"/>
        </w:rPr>
        <w:t>of</w:t>
      </w:r>
      <w:r w:rsidR="00F07818" w:rsidRPr="0028380A">
        <w:rPr>
          <w:lang w:val="en-GB"/>
        </w:rPr>
        <w:t xml:space="preserve"> Social Affairs</w:t>
      </w:r>
      <w:r w:rsidRPr="0028380A">
        <w:rPr>
          <w:lang w:val="en-GB"/>
        </w:rPr>
        <w:t xml:space="preserve"> </w:t>
      </w:r>
      <w:r w:rsidR="002911C4">
        <w:rPr>
          <w:lang w:val="en-GB"/>
        </w:rPr>
        <w:t xml:space="preserve">(MOSA) </w:t>
      </w:r>
      <w:r w:rsidRPr="0028380A">
        <w:rPr>
          <w:lang w:val="en-GB"/>
        </w:rPr>
        <w:t xml:space="preserve">and </w:t>
      </w:r>
      <w:r w:rsidR="00A70F6B" w:rsidRPr="0028380A">
        <w:rPr>
          <w:lang w:val="en-GB"/>
        </w:rPr>
        <w:t>UNHCR</w:t>
      </w:r>
      <w:r w:rsidRPr="0028380A">
        <w:rPr>
          <w:lang w:val="en-GB"/>
        </w:rPr>
        <w:t xml:space="preserve"> as per their leadership and specific accountability </w:t>
      </w:r>
      <w:r w:rsidR="00CB35AA" w:rsidRPr="0028380A">
        <w:rPr>
          <w:lang w:val="en-GB"/>
        </w:rPr>
        <w:t>in the sector’s response.</w:t>
      </w:r>
      <w:r w:rsidR="00F91512" w:rsidRPr="0028380A">
        <w:rPr>
          <w:lang w:val="en-GB"/>
        </w:rPr>
        <w:t xml:space="preserve"> </w:t>
      </w:r>
    </w:p>
    <w:p w:rsidR="005E1833" w:rsidRPr="0028380A" w:rsidRDefault="00897E98" w:rsidP="00CB35AA">
      <w:pPr>
        <w:spacing w:after="120" w:line="240" w:lineRule="auto"/>
        <w:jc w:val="both"/>
        <w:rPr>
          <w:lang w:val="en-GB"/>
        </w:rPr>
      </w:pPr>
      <w:r w:rsidRPr="0028380A">
        <w:rPr>
          <w:lang w:val="en-GB"/>
        </w:rPr>
        <w:t xml:space="preserve">In addition to the responsible UN agencies, the WG may appoint a NGO representative as co-lead. </w:t>
      </w:r>
      <w:r w:rsidR="00464D8C" w:rsidRPr="0028380A">
        <w:rPr>
          <w:lang w:val="en-GB"/>
        </w:rPr>
        <w:t xml:space="preserve"> </w:t>
      </w:r>
      <w:r w:rsidR="005E1833" w:rsidRPr="0028380A">
        <w:rPr>
          <w:lang w:val="en-GB"/>
        </w:rPr>
        <w:t xml:space="preserve">The NGO representative must be selected through a participatory and transparent process, and by wide agreement of the WG partners. </w:t>
      </w:r>
      <w:r w:rsidR="00DF2A4E" w:rsidRPr="0028380A">
        <w:rPr>
          <w:lang w:val="en-GB"/>
        </w:rPr>
        <w:t xml:space="preserve"> </w:t>
      </w:r>
      <w:r w:rsidR="00577629" w:rsidRPr="0028380A">
        <w:rPr>
          <w:lang w:val="en-GB"/>
        </w:rPr>
        <w:t>The NGO co-lead should be from an organization with</w:t>
      </w:r>
      <w:r w:rsidR="00464D8C" w:rsidRPr="0028380A">
        <w:rPr>
          <w:lang w:val="en-GB"/>
        </w:rPr>
        <w:t xml:space="preserve"> (a) </w:t>
      </w:r>
      <w:r w:rsidRPr="0028380A">
        <w:rPr>
          <w:lang w:val="en-GB"/>
        </w:rPr>
        <w:t>recognised technical</w:t>
      </w:r>
      <w:r w:rsidR="00464D8C" w:rsidRPr="0028380A">
        <w:rPr>
          <w:lang w:val="en-GB"/>
        </w:rPr>
        <w:t xml:space="preserve"> expertise in the sector, (b) </w:t>
      </w:r>
      <w:r w:rsidRPr="0028380A">
        <w:rPr>
          <w:lang w:val="en-GB"/>
        </w:rPr>
        <w:t>operational capacity</w:t>
      </w:r>
      <w:r w:rsidR="00282044" w:rsidRPr="0028380A">
        <w:rPr>
          <w:lang w:val="en-GB"/>
        </w:rPr>
        <w:t xml:space="preserve"> in the sector in the geographic area covered by the WG</w:t>
      </w:r>
      <w:r w:rsidRPr="0028380A">
        <w:rPr>
          <w:lang w:val="en-GB"/>
        </w:rPr>
        <w:t xml:space="preserve">, and (c) the </w:t>
      </w:r>
      <w:r w:rsidR="00C2210B" w:rsidRPr="0028380A">
        <w:rPr>
          <w:lang w:val="en-GB"/>
        </w:rPr>
        <w:t xml:space="preserve">willingness and </w:t>
      </w:r>
      <w:r w:rsidRPr="0028380A">
        <w:rPr>
          <w:lang w:val="en-GB"/>
        </w:rPr>
        <w:t xml:space="preserve">capacity to commit time and resources to the co-lead responsibilities. </w:t>
      </w:r>
      <w:r w:rsidR="00464D8C" w:rsidRPr="0028380A">
        <w:rPr>
          <w:lang w:val="en-GB"/>
        </w:rPr>
        <w:t xml:space="preserve"> </w:t>
      </w:r>
      <w:r w:rsidRPr="0028380A">
        <w:rPr>
          <w:lang w:val="en-GB"/>
        </w:rPr>
        <w:t>The WG may decide to have the NGO co-lead on a rotation basis.</w:t>
      </w:r>
    </w:p>
    <w:p w:rsidR="00C81000" w:rsidRPr="0028380A" w:rsidRDefault="00156541" w:rsidP="00CB35AA">
      <w:pPr>
        <w:spacing w:after="120" w:line="240" w:lineRule="auto"/>
        <w:jc w:val="both"/>
      </w:pPr>
      <w:r w:rsidRPr="0028380A">
        <w:rPr>
          <w:b/>
          <w:bCs/>
          <w:lang w:val="en-GB"/>
        </w:rPr>
        <w:t>Accountabilities</w:t>
      </w:r>
    </w:p>
    <w:p w:rsidR="00E7188A" w:rsidRPr="0028380A" w:rsidRDefault="00E7188A" w:rsidP="00CB35AA">
      <w:pPr>
        <w:spacing w:after="120" w:line="240" w:lineRule="auto"/>
        <w:jc w:val="both"/>
        <w:rPr>
          <w:lang w:val="en-GB"/>
        </w:rPr>
      </w:pPr>
      <w:r w:rsidRPr="0028380A">
        <w:rPr>
          <w:lang w:val="en-GB"/>
        </w:rPr>
        <w:t>Consistent with the overall objectives, priorities and targets in the RRP</w:t>
      </w:r>
      <w:r w:rsidR="00C81000" w:rsidRPr="0028380A">
        <w:rPr>
          <w:lang w:val="en-GB"/>
        </w:rPr>
        <w:t xml:space="preserve">, </w:t>
      </w:r>
      <w:r w:rsidR="00282044" w:rsidRPr="0028380A">
        <w:rPr>
          <w:lang w:val="en-GB"/>
        </w:rPr>
        <w:t xml:space="preserve">sector strategy documents, and other relevant national and regional strategies, </w:t>
      </w:r>
      <w:r w:rsidR="00C81000" w:rsidRPr="0028380A">
        <w:rPr>
          <w:lang w:val="en-GB"/>
        </w:rPr>
        <w:t>the</w:t>
      </w:r>
      <w:r w:rsidR="00897E98" w:rsidRPr="0028380A">
        <w:rPr>
          <w:lang w:val="en-GB"/>
        </w:rPr>
        <w:t xml:space="preserve"> sector leads are </w:t>
      </w:r>
      <w:r w:rsidR="00C81000" w:rsidRPr="0028380A">
        <w:rPr>
          <w:lang w:val="en-GB"/>
        </w:rPr>
        <w:t>accountable for</w:t>
      </w:r>
      <w:r w:rsidR="00464D8C" w:rsidRPr="0028380A">
        <w:rPr>
          <w:lang w:val="en-GB"/>
        </w:rPr>
        <w:t>:</w:t>
      </w:r>
    </w:p>
    <w:p w:rsidR="00E7188A" w:rsidRPr="0028380A" w:rsidRDefault="00D0516F" w:rsidP="00CB35AA">
      <w:pPr>
        <w:numPr>
          <w:ilvl w:val="0"/>
          <w:numId w:val="16"/>
        </w:numPr>
        <w:spacing w:after="120" w:line="240" w:lineRule="auto"/>
        <w:jc w:val="both"/>
        <w:rPr>
          <w:lang w:val="en-GB"/>
        </w:rPr>
      </w:pPr>
      <w:r w:rsidRPr="0028380A">
        <w:rPr>
          <w:lang w:val="en-GB"/>
        </w:rPr>
        <w:lastRenderedPageBreak/>
        <w:t xml:space="preserve">effective coordinated </w:t>
      </w:r>
      <w:r w:rsidR="007943BB" w:rsidRPr="0028380A">
        <w:rPr>
          <w:lang w:val="en-GB"/>
        </w:rPr>
        <w:t xml:space="preserve">approach on protection issues as well as </w:t>
      </w:r>
      <w:r w:rsidR="00C623DF" w:rsidRPr="0028380A">
        <w:rPr>
          <w:lang w:val="en-GB"/>
        </w:rPr>
        <w:t xml:space="preserve">protection programming and </w:t>
      </w:r>
      <w:r w:rsidR="00C81000" w:rsidRPr="0028380A">
        <w:rPr>
          <w:lang w:val="en-GB"/>
        </w:rPr>
        <w:t xml:space="preserve">programme implementation, </w:t>
      </w:r>
      <w:r w:rsidR="00156541" w:rsidRPr="0028380A">
        <w:rPr>
          <w:lang w:val="en-GB"/>
        </w:rPr>
        <w:t xml:space="preserve">supported by </w:t>
      </w:r>
      <w:r w:rsidR="00453B22" w:rsidRPr="0028380A">
        <w:rPr>
          <w:lang w:val="en-GB"/>
        </w:rPr>
        <w:t>common needs assessments</w:t>
      </w:r>
      <w:r w:rsidR="00577629" w:rsidRPr="0028380A">
        <w:rPr>
          <w:lang w:val="en-GB"/>
        </w:rPr>
        <w:t xml:space="preserve">, </w:t>
      </w:r>
      <w:r w:rsidR="005A6681" w:rsidRPr="0028380A">
        <w:rPr>
          <w:lang w:val="en-GB"/>
        </w:rPr>
        <w:t>gaps and capacities analysis</w:t>
      </w:r>
      <w:r w:rsidR="00453B22" w:rsidRPr="0028380A">
        <w:rPr>
          <w:lang w:val="en-GB"/>
        </w:rPr>
        <w:t xml:space="preserve">, </w:t>
      </w:r>
      <w:r w:rsidR="00E7188A" w:rsidRPr="0028380A">
        <w:rPr>
          <w:lang w:val="en-GB"/>
        </w:rPr>
        <w:t>programme design, evaluation and reporting to maximize impact, prevent overlap and minimize gaps;</w:t>
      </w:r>
    </w:p>
    <w:p w:rsidR="00577629" w:rsidRPr="0028380A" w:rsidRDefault="00577629" w:rsidP="00302DD3">
      <w:pPr>
        <w:numPr>
          <w:ilvl w:val="0"/>
          <w:numId w:val="16"/>
        </w:numPr>
        <w:spacing w:after="120" w:line="240" w:lineRule="auto"/>
        <w:jc w:val="both"/>
        <w:rPr>
          <w:lang w:val="en-GB"/>
        </w:rPr>
      </w:pPr>
      <w:r w:rsidRPr="0028380A">
        <w:rPr>
          <w:lang w:val="en-GB"/>
        </w:rPr>
        <w:t>sector planning and strategy development</w:t>
      </w:r>
      <w:r w:rsidR="00BA55AE" w:rsidRPr="0028380A">
        <w:rPr>
          <w:lang w:val="en-GB"/>
        </w:rPr>
        <w:t>/ refinement</w:t>
      </w:r>
      <w:r w:rsidR="00302DD3" w:rsidRPr="0028380A">
        <w:rPr>
          <w:lang w:val="en-GB"/>
        </w:rPr>
        <w:t>, also</w:t>
      </w:r>
      <w:r w:rsidR="00FE44E5" w:rsidRPr="0028380A">
        <w:t xml:space="preserve"> through participatory initiatives</w:t>
      </w:r>
      <w:r w:rsidR="00302DD3" w:rsidRPr="0028380A">
        <w:t xml:space="preserve"> reflecting age, gender and d</w:t>
      </w:r>
      <w:r w:rsidR="00FE44E5" w:rsidRPr="0028380A">
        <w:t xml:space="preserve">iversity </w:t>
      </w:r>
      <w:r w:rsidR="00991F32" w:rsidRPr="0028380A">
        <w:t xml:space="preserve">mainstreaming </w:t>
      </w:r>
      <w:r w:rsidR="00302DD3" w:rsidRPr="0028380A">
        <w:t xml:space="preserve">(AGDM </w:t>
      </w:r>
      <w:r w:rsidR="00FE44E5" w:rsidRPr="0028380A">
        <w:t>approach</w:t>
      </w:r>
      <w:r w:rsidR="00302DD3" w:rsidRPr="0028380A">
        <w:t>)</w:t>
      </w:r>
      <w:r w:rsidRPr="0028380A">
        <w:rPr>
          <w:lang w:val="en-GB"/>
        </w:rPr>
        <w:t>;</w:t>
      </w:r>
    </w:p>
    <w:p w:rsidR="00577629" w:rsidRPr="0028380A" w:rsidRDefault="00577629" w:rsidP="00CB35AA">
      <w:pPr>
        <w:numPr>
          <w:ilvl w:val="0"/>
          <w:numId w:val="16"/>
        </w:numPr>
        <w:spacing w:after="120" w:line="240" w:lineRule="auto"/>
        <w:jc w:val="both"/>
        <w:rPr>
          <w:lang w:val="en-GB"/>
        </w:rPr>
      </w:pPr>
      <w:r w:rsidRPr="0028380A">
        <w:rPr>
          <w:lang w:val="en-GB"/>
        </w:rPr>
        <w:t xml:space="preserve">ensuring that agreed in-country and global </w:t>
      </w:r>
      <w:r w:rsidR="00BA55AE" w:rsidRPr="0028380A">
        <w:rPr>
          <w:lang w:val="en-GB"/>
        </w:rPr>
        <w:t>humanitarian/ protection s</w:t>
      </w:r>
      <w:r w:rsidRPr="0028380A">
        <w:rPr>
          <w:lang w:val="en-GB"/>
        </w:rPr>
        <w:t>tandards and guidelines are met;</w:t>
      </w:r>
    </w:p>
    <w:p w:rsidR="00577629" w:rsidRPr="0028380A" w:rsidRDefault="00577629" w:rsidP="00577629">
      <w:pPr>
        <w:numPr>
          <w:ilvl w:val="0"/>
          <w:numId w:val="16"/>
        </w:numPr>
        <w:spacing w:after="120" w:line="240" w:lineRule="auto"/>
        <w:jc w:val="both"/>
        <w:rPr>
          <w:b/>
          <w:bCs/>
          <w:u w:val="single"/>
          <w:lang w:val="en-GB"/>
        </w:rPr>
      </w:pPr>
      <w:r w:rsidRPr="0028380A">
        <w:rPr>
          <w:lang w:val="en-GB"/>
        </w:rPr>
        <w:t>contingency planning, preparedness, and capacity building</w:t>
      </w:r>
      <w:r w:rsidR="00067745" w:rsidRPr="0028380A">
        <w:rPr>
          <w:lang w:val="en-GB"/>
        </w:rPr>
        <w:t xml:space="preserve"> in the field of protection</w:t>
      </w:r>
      <w:r w:rsidRPr="0028380A">
        <w:rPr>
          <w:lang w:val="en-GB"/>
        </w:rPr>
        <w:t>;</w:t>
      </w:r>
    </w:p>
    <w:p w:rsidR="00156541" w:rsidRPr="0028380A" w:rsidRDefault="005A6681" w:rsidP="00CB35AA">
      <w:pPr>
        <w:numPr>
          <w:ilvl w:val="0"/>
          <w:numId w:val="16"/>
        </w:numPr>
        <w:spacing w:after="120" w:line="240" w:lineRule="auto"/>
        <w:jc w:val="both"/>
        <w:rPr>
          <w:lang w:val="en-GB"/>
        </w:rPr>
      </w:pPr>
      <w:r w:rsidRPr="0028380A">
        <w:rPr>
          <w:lang w:val="en-GB"/>
        </w:rPr>
        <w:t>c</w:t>
      </w:r>
      <w:r w:rsidR="00156541" w:rsidRPr="0028380A">
        <w:rPr>
          <w:lang w:val="en-GB"/>
        </w:rPr>
        <w:t xml:space="preserve">ommon advocacy and resource mobilization platforms; </w:t>
      </w:r>
      <w:r w:rsidR="00C81000" w:rsidRPr="0028380A">
        <w:rPr>
          <w:lang w:val="en-GB"/>
        </w:rPr>
        <w:t>and,</w:t>
      </w:r>
    </w:p>
    <w:p w:rsidR="007B45F3" w:rsidRPr="0028380A" w:rsidRDefault="005A6681" w:rsidP="00CB35AA">
      <w:pPr>
        <w:numPr>
          <w:ilvl w:val="0"/>
          <w:numId w:val="16"/>
        </w:numPr>
        <w:spacing w:after="120" w:line="240" w:lineRule="auto"/>
        <w:jc w:val="both"/>
        <w:rPr>
          <w:b/>
          <w:bCs/>
          <w:u w:val="single"/>
          <w:lang w:val="en-GB"/>
        </w:rPr>
      </w:pPr>
      <w:proofErr w:type="gramStart"/>
      <w:r w:rsidRPr="0028380A">
        <w:rPr>
          <w:lang w:val="en-GB"/>
        </w:rPr>
        <w:t>monitoring</w:t>
      </w:r>
      <w:proofErr w:type="gramEnd"/>
      <w:r w:rsidR="00156541" w:rsidRPr="0028380A">
        <w:rPr>
          <w:lang w:val="en-GB"/>
        </w:rPr>
        <w:t xml:space="preserve"> progress against key indicators an</w:t>
      </w:r>
      <w:r w:rsidR="00C81000" w:rsidRPr="0028380A">
        <w:rPr>
          <w:lang w:val="en-GB"/>
        </w:rPr>
        <w:t xml:space="preserve">d targets </w:t>
      </w:r>
      <w:r w:rsidR="009C28C0" w:rsidRPr="0028380A">
        <w:rPr>
          <w:lang w:val="en-GB"/>
        </w:rPr>
        <w:t xml:space="preserve">for the protection sector </w:t>
      </w:r>
      <w:r w:rsidR="00C81000" w:rsidRPr="0028380A">
        <w:rPr>
          <w:lang w:val="en-GB"/>
        </w:rPr>
        <w:t>as set out in the RRP</w:t>
      </w:r>
      <w:r w:rsidR="00282044" w:rsidRPr="0028380A">
        <w:rPr>
          <w:lang w:val="en-GB"/>
        </w:rPr>
        <w:t xml:space="preserve"> and other guiding documents</w:t>
      </w:r>
      <w:r w:rsidR="00C81000" w:rsidRPr="0028380A">
        <w:rPr>
          <w:lang w:val="en-GB"/>
        </w:rPr>
        <w:t>.</w:t>
      </w:r>
    </w:p>
    <w:p w:rsidR="00C623DF" w:rsidRPr="0028380A" w:rsidRDefault="00C623DF" w:rsidP="00C623DF">
      <w:pPr>
        <w:spacing w:after="120" w:line="240" w:lineRule="auto"/>
        <w:ind w:left="720"/>
        <w:jc w:val="both"/>
        <w:rPr>
          <w:b/>
          <w:bCs/>
          <w:u w:val="single"/>
          <w:lang w:val="en-GB"/>
        </w:rPr>
      </w:pPr>
    </w:p>
    <w:p w:rsidR="00E83FB0" w:rsidRPr="0028380A" w:rsidRDefault="00772655" w:rsidP="00CB35AA">
      <w:pPr>
        <w:spacing w:after="120" w:line="240" w:lineRule="auto"/>
        <w:jc w:val="both"/>
        <w:rPr>
          <w:b/>
          <w:bCs/>
          <w:lang w:val="en-GB"/>
        </w:rPr>
      </w:pPr>
      <w:r w:rsidRPr="0028380A">
        <w:rPr>
          <w:b/>
          <w:bCs/>
          <w:lang w:val="en-GB"/>
        </w:rPr>
        <w:t>Responsibilities</w:t>
      </w:r>
    </w:p>
    <w:p w:rsidR="00897E98" w:rsidRPr="0028380A" w:rsidRDefault="002B2544" w:rsidP="00CB35AA">
      <w:pPr>
        <w:spacing w:after="120" w:line="240" w:lineRule="auto"/>
        <w:jc w:val="both"/>
        <w:rPr>
          <w:lang w:val="en-GB"/>
        </w:rPr>
      </w:pPr>
      <w:r w:rsidRPr="0028380A">
        <w:rPr>
          <w:lang w:val="en-GB"/>
        </w:rPr>
        <w:t xml:space="preserve">Sector </w:t>
      </w:r>
      <w:r w:rsidR="00897E98" w:rsidRPr="0028380A">
        <w:rPr>
          <w:lang w:val="en-GB"/>
        </w:rPr>
        <w:t>leads share the following responsibilities:</w:t>
      </w:r>
    </w:p>
    <w:p w:rsidR="00F851D1" w:rsidRPr="0028380A" w:rsidRDefault="00F851D1" w:rsidP="00CB35AA">
      <w:pPr>
        <w:numPr>
          <w:ilvl w:val="0"/>
          <w:numId w:val="11"/>
        </w:numPr>
        <w:spacing w:after="120" w:line="240" w:lineRule="auto"/>
        <w:jc w:val="both"/>
        <w:rPr>
          <w:lang w:val="en-GB"/>
        </w:rPr>
      </w:pPr>
      <w:r w:rsidRPr="0028380A">
        <w:rPr>
          <w:lang w:val="en-GB"/>
        </w:rPr>
        <w:t xml:space="preserve">Call </w:t>
      </w:r>
      <w:r w:rsidR="005F5CC0" w:rsidRPr="0028380A">
        <w:rPr>
          <w:lang w:val="en-GB"/>
        </w:rPr>
        <w:t xml:space="preserve">regularly scheduled </w:t>
      </w:r>
      <w:r w:rsidRPr="0028380A">
        <w:rPr>
          <w:lang w:val="en-GB"/>
        </w:rPr>
        <w:t xml:space="preserve">meetings to set strategies and monitor progress toward common targets, and share summary action points with all </w:t>
      </w:r>
      <w:r w:rsidR="00D32782" w:rsidRPr="0028380A">
        <w:rPr>
          <w:lang w:val="en-GB"/>
        </w:rPr>
        <w:t>partners</w:t>
      </w:r>
      <w:r w:rsidRPr="0028380A">
        <w:rPr>
          <w:lang w:val="en-GB"/>
        </w:rPr>
        <w:t>;</w:t>
      </w:r>
    </w:p>
    <w:p w:rsidR="009F40A1" w:rsidRPr="0028380A" w:rsidRDefault="00F851D1" w:rsidP="00CB35AA">
      <w:pPr>
        <w:numPr>
          <w:ilvl w:val="0"/>
          <w:numId w:val="11"/>
        </w:numPr>
        <w:spacing w:after="120" w:line="240" w:lineRule="auto"/>
        <w:jc w:val="both"/>
        <w:rPr>
          <w:lang w:val="en-GB"/>
        </w:rPr>
      </w:pPr>
      <w:r w:rsidRPr="0028380A">
        <w:rPr>
          <w:lang w:val="en-GB"/>
        </w:rPr>
        <w:t>Share</w:t>
      </w:r>
      <w:r w:rsidR="007E3DA3" w:rsidRPr="0028380A">
        <w:rPr>
          <w:lang w:val="en-GB"/>
        </w:rPr>
        <w:t xml:space="preserve"> infor</w:t>
      </w:r>
      <w:r w:rsidR="00AF4A4D" w:rsidRPr="0028380A">
        <w:rPr>
          <w:lang w:val="en-GB"/>
        </w:rPr>
        <w:t xml:space="preserve">mation </w:t>
      </w:r>
      <w:r w:rsidR="007E3DA3" w:rsidRPr="0028380A">
        <w:rPr>
          <w:lang w:val="en-GB"/>
        </w:rPr>
        <w:t>about</w:t>
      </w:r>
      <w:r w:rsidR="006A6F6E" w:rsidRPr="0028380A">
        <w:rPr>
          <w:lang w:val="en-GB"/>
        </w:rPr>
        <w:t xml:space="preserve"> the evolving protection situations and trends, </w:t>
      </w:r>
      <w:r w:rsidR="007E3DA3" w:rsidRPr="0028380A">
        <w:rPr>
          <w:lang w:val="en-GB"/>
        </w:rPr>
        <w:t xml:space="preserve">needs/gaps </w:t>
      </w:r>
      <w:r w:rsidR="009F40A1" w:rsidRPr="0028380A">
        <w:rPr>
          <w:lang w:val="en-GB"/>
        </w:rPr>
        <w:t>analysis</w:t>
      </w:r>
      <w:r w:rsidR="007E3DA3" w:rsidRPr="0028380A">
        <w:rPr>
          <w:lang w:val="en-GB"/>
        </w:rPr>
        <w:t xml:space="preserve"> </w:t>
      </w:r>
      <w:r w:rsidRPr="0028380A">
        <w:rPr>
          <w:lang w:val="en-GB"/>
        </w:rPr>
        <w:t>to guarantee</w:t>
      </w:r>
      <w:r w:rsidR="007E3DA3" w:rsidRPr="0028380A">
        <w:rPr>
          <w:lang w:val="en-GB"/>
        </w:rPr>
        <w:t xml:space="preserve"> </w:t>
      </w:r>
      <w:r w:rsidR="002463D4" w:rsidRPr="0028380A">
        <w:rPr>
          <w:lang w:val="en-GB"/>
        </w:rPr>
        <w:t xml:space="preserve">a common understanding by all partners of the </w:t>
      </w:r>
      <w:r w:rsidR="00430CB3" w:rsidRPr="0028380A">
        <w:rPr>
          <w:lang w:val="en-GB"/>
        </w:rPr>
        <w:t>sector</w:t>
      </w:r>
      <w:r w:rsidR="002463D4" w:rsidRPr="0028380A">
        <w:rPr>
          <w:lang w:val="en-GB"/>
        </w:rPr>
        <w:t>’s needs, to ensure that the</w:t>
      </w:r>
      <w:r w:rsidR="00430CB3" w:rsidRPr="0028380A">
        <w:rPr>
          <w:lang w:val="en-GB"/>
        </w:rPr>
        <w:t xml:space="preserve"> strategy’s</w:t>
      </w:r>
      <w:r w:rsidR="007E3DA3" w:rsidRPr="0028380A">
        <w:rPr>
          <w:lang w:val="en-GB"/>
        </w:rPr>
        <w:t xml:space="preserve"> objectives and targets are met;</w:t>
      </w:r>
    </w:p>
    <w:p w:rsidR="00BB2CFC" w:rsidRPr="0028380A" w:rsidRDefault="00BB2CFC" w:rsidP="00CB35AA">
      <w:pPr>
        <w:numPr>
          <w:ilvl w:val="0"/>
          <w:numId w:val="11"/>
        </w:numPr>
        <w:spacing w:after="120" w:line="240" w:lineRule="auto"/>
        <w:jc w:val="both"/>
        <w:rPr>
          <w:lang w:val="en-GB"/>
        </w:rPr>
      </w:pPr>
      <w:r w:rsidRPr="0028380A">
        <w:rPr>
          <w:lang w:val="en-GB"/>
        </w:rPr>
        <w:t>Ensure that the sector has and shares accurate information about who is doing what where and when, to facilitate well-coordinated program</w:t>
      </w:r>
      <w:r w:rsidR="00D4522E" w:rsidRPr="0028380A">
        <w:rPr>
          <w:lang w:val="en-GB"/>
        </w:rPr>
        <w:t>me</w:t>
      </w:r>
      <w:r w:rsidRPr="0028380A">
        <w:rPr>
          <w:lang w:val="en-GB"/>
        </w:rPr>
        <w:t xml:space="preserve"> planning and implementation;</w:t>
      </w:r>
    </w:p>
    <w:p w:rsidR="00F851D1" w:rsidRPr="0028380A" w:rsidRDefault="00F851D1" w:rsidP="00CB35AA">
      <w:pPr>
        <w:numPr>
          <w:ilvl w:val="0"/>
          <w:numId w:val="11"/>
        </w:numPr>
        <w:spacing w:after="120" w:line="240" w:lineRule="auto"/>
        <w:jc w:val="both"/>
        <w:rPr>
          <w:lang w:val="en-GB"/>
        </w:rPr>
      </w:pPr>
      <w:r w:rsidRPr="0028380A">
        <w:rPr>
          <w:lang w:val="en-GB"/>
        </w:rPr>
        <w:t>Encourage the use of common needs assessment and monitoring tools, and ensure timely and accurate reporting by all partners;</w:t>
      </w:r>
    </w:p>
    <w:p w:rsidR="00607590" w:rsidRPr="0028380A" w:rsidRDefault="00F851D1" w:rsidP="00CB35AA">
      <w:pPr>
        <w:numPr>
          <w:ilvl w:val="0"/>
          <w:numId w:val="11"/>
        </w:numPr>
        <w:spacing w:after="120" w:line="240" w:lineRule="auto"/>
        <w:jc w:val="both"/>
        <w:rPr>
          <w:lang w:val="en-GB"/>
        </w:rPr>
      </w:pPr>
      <w:r w:rsidRPr="0028380A">
        <w:rPr>
          <w:lang w:val="en-GB"/>
        </w:rPr>
        <w:t>Promote the regular review of</w:t>
      </w:r>
      <w:r w:rsidR="00607590" w:rsidRPr="0028380A">
        <w:rPr>
          <w:lang w:val="en-GB"/>
        </w:rPr>
        <w:t xml:space="preserve"> the sector strategy, and </w:t>
      </w:r>
      <w:r w:rsidRPr="0028380A">
        <w:rPr>
          <w:lang w:val="en-GB"/>
        </w:rPr>
        <w:t>oversee</w:t>
      </w:r>
      <w:r w:rsidR="00607590" w:rsidRPr="0028380A">
        <w:rPr>
          <w:lang w:val="en-GB"/>
        </w:rPr>
        <w:t xml:space="preserve"> that partners’ strategies are in line with the overall sector strategy</w:t>
      </w:r>
      <w:r w:rsidR="002463D4" w:rsidRPr="0028380A">
        <w:rPr>
          <w:lang w:val="en-GB"/>
        </w:rPr>
        <w:t xml:space="preserve"> and global standard</w:t>
      </w:r>
      <w:r w:rsidR="00DF2A4E" w:rsidRPr="0028380A">
        <w:rPr>
          <w:lang w:val="en-GB"/>
        </w:rPr>
        <w:t>s</w:t>
      </w:r>
      <w:r w:rsidR="002463D4" w:rsidRPr="0028380A">
        <w:rPr>
          <w:lang w:val="en-GB"/>
        </w:rPr>
        <w:t xml:space="preserve"> specific to the sector</w:t>
      </w:r>
      <w:r w:rsidR="00607590" w:rsidRPr="0028380A">
        <w:rPr>
          <w:lang w:val="en-GB"/>
        </w:rPr>
        <w:t>;</w:t>
      </w:r>
    </w:p>
    <w:p w:rsidR="009F40A1" w:rsidRPr="0028380A" w:rsidRDefault="00607590" w:rsidP="00282044">
      <w:pPr>
        <w:numPr>
          <w:ilvl w:val="0"/>
          <w:numId w:val="11"/>
        </w:numPr>
        <w:spacing w:after="120" w:line="240" w:lineRule="auto"/>
        <w:jc w:val="both"/>
        <w:rPr>
          <w:lang w:val="en-GB"/>
        </w:rPr>
      </w:pPr>
      <w:r w:rsidRPr="0028380A">
        <w:rPr>
          <w:lang w:val="en-GB"/>
        </w:rPr>
        <w:t>Provide relevant inputs to the RRP</w:t>
      </w:r>
      <w:r w:rsidR="001F4D4E" w:rsidRPr="0028380A">
        <w:rPr>
          <w:lang w:val="en-GB"/>
        </w:rPr>
        <w:t xml:space="preserve"> </w:t>
      </w:r>
      <w:r w:rsidRPr="0028380A">
        <w:rPr>
          <w:lang w:val="en-GB"/>
        </w:rPr>
        <w:t xml:space="preserve">and other </w:t>
      </w:r>
      <w:r w:rsidR="00282044" w:rsidRPr="0028380A">
        <w:rPr>
          <w:lang w:val="en-GB"/>
        </w:rPr>
        <w:t xml:space="preserve">relevant national and </w:t>
      </w:r>
      <w:r w:rsidRPr="0028380A">
        <w:rPr>
          <w:lang w:val="en-GB"/>
        </w:rPr>
        <w:t xml:space="preserve">regional </w:t>
      </w:r>
      <w:r w:rsidR="00282044" w:rsidRPr="0028380A">
        <w:rPr>
          <w:lang w:val="en-GB"/>
        </w:rPr>
        <w:t xml:space="preserve">strategies and </w:t>
      </w:r>
      <w:r w:rsidRPr="0028380A">
        <w:rPr>
          <w:lang w:val="en-GB"/>
        </w:rPr>
        <w:t>processes;</w:t>
      </w:r>
    </w:p>
    <w:p w:rsidR="009F40A1" w:rsidRPr="0028380A" w:rsidRDefault="00AF4A4D" w:rsidP="00CB35AA">
      <w:pPr>
        <w:numPr>
          <w:ilvl w:val="0"/>
          <w:numId w:val="11"/>
        </w:numPr>
        <w:spacing w:after="120" w:line="240" w:lineRule="auto"/>
        <w:jc w:val="both"/>
        <w:rPr>
          <w:lang w:val="en-GB"/>
        </w:rPr>
      </w:pPr>
      <w:r w:rsidRPr="0028380A">
        <w:rPr>
          <w:lang w:val="en-GB"/>
        </w:rPr>
        <w:t xml:space="preserve">Provide technical support </w:t>
      </w:r>
      <w:r w:rsidR="0053270C" w:rsidRPr="0028380A">
        <w:rPr>
          <w:lang w:val="en-GB"/>
        </w:rPr>
        <w:t xml:space="preserve">and guidance </w:t>
      </w:r>
      <w:r w:rsidRPr="0028380A">
        <w:rPr>
          <w:lang w:val="en-GB"/>
        </w:rPr>
        <w:t xml:space="preserve">to </w:t>
      </w:r>
      <w:r w:rsidR="0053270C" w:rsidRPr="0028380A">
        <w:rPr>
          <w:lang w:val="en-GB"/>
        </w:rPr>
        <w:t xml:space="preserve">the PWGs in the field, as well as to </w:t>
      </w:r>
      <w:r w:rsidRPr="0028380A">
        <w:rPr>
          <w:lang w:val="en-GB"/>
        </w:rPr>
        <w:t>partners</w:t>
      </w:r>
      <w:r w:rsidR="0053270C" w:rsidRPr="0028380A">
        <w:rPr>
          <w:lang w:val="en-GB"/>
        </w:rPr>
        <w:t>,</w:t>
      </w:r>
      <w:r w:rsidR="005F5CC0" w:rsidRPr="0028380A">
        <w:rPr>
          <w:lang w:val="en-GB"/>
        </w:rPr>
        <w:t xml:space="preserve"> and promote capacity building</w:t>
      </w:r>
      <w:r w:rsidRPr="0028380A">
        <w:rPr>
          <w:lang w:val="en-GB"/>
        </w:rPr>
        <w:t>;</w:t>
      </w:r>
    </w:p>
    <w:p w:rsidR="009F40A1" w:rsidRPr="0028380A" w:rsidRDefault="007E3DA3" w:rsidP="00CB35AA">
      <w:pPr>
        <w:numPr>
          <w:ilvl w:val="0"/>
          <w:numId w:val="11"/>
        </w:numPr>
        <w:spacing w:after="120" w:line="240" w:lineRule="auto"/>
        <w:jc w:val="both"/>
        <w:rPr>
          <w:lang w:val="en-GB"/>
        </w:rPr>
      </w:pPr>
      <w:r w:rsidRPr="0028380A">
        <w:rPr>
          <w:lang w:val="en-GB"/>
        </w:rPr>
        <w:t>Participate in inter-</w:t>
      </w:r>
      <w:proofErr w:type="spellStart"/>
      <w:r w:rsidRPr="0028380A">
        <w:rPr>
          <w:lang w:val="en-GB"/>
        </w:rPr>
        <w:t>sectoral</w:t>
      </w:r>
      <w:proofErr w:type="spellEnd"/>
      <w:r w:rsidRPr="0028380A">
        <w:rPr>
          <w:lang w:val="en-GB"/>
        </w:rPr>
        <w:t xml:space="preserve"> </w:t>
      </w:r>
      <w:r w:rsidR="001474B3" w:rsidRPr="0028380A">
        <w:rPr>
          <w:lang w:val="en-GB"/>
        </w:rPr>
        <w:t>inter-agency</w:t>
      </w:r>
      <w:r w:rsidRPr="0028380A">
        <w:rPr>
          <w:lang w:val="en-GB"/>
        </w:rPr>
        <w:t xml:space="preserve"> meetings </w:t>
      </w:r>
      <w:r w:rsidR="009F40A1" w:rsidRPr="0028380A">
        <w:rPr>
          <w:lang w:val="en-GB"/>
        </w:rPr>
        <w:t xml:space="preserve">and other relevant </w:t>
      </w:r>
      <w:r w:rsidR="001474B3" w:rsidRPr="0028380A">
        <w:rPr>
          <w:lang w:val="en-GB"/>
        </w:rPr>
        <w:t>inter-agency</w:t>
      </w:r>
      <w:r w:rsidR="009F40A1" w:rsidRPr="0028380A">
        <w:rPr>
          <w:lang w:val="en-GB"/>
        </w:rPr>
        <w:t xml:space="preserve"> processes </w:t>
      </w:r>
      <w:r w:rsidRPr="0028380A">
        <w:rPr>
          <w:lang w:val="en-GB"/>
        </w:rPr>
        <w:t>to ensure that appropriate linkages are made</w:t>
      </w:r>
      <w:r w:rsidR="00DF2A4E" w:rsidRPr="0028380A">
        <w:rPr>
          <w:lang w:val="en-GB"/>
        </w:rPr>
        <w:t xml:space="preserve"> with other sector</w:t>
      </w:r>
      <w:r w:rsidRPr="0028380A">
        <w:rPr>
          <w:lang w:val="en-GB"/>
        </w:rPr>
        <w:t>s</w:t>
      </w:r>
      <w:r w:rsidR="00DF2A4E" w:rsidRPr="0028380A">
        <w:rPr>
          <w:lang w:val="en-GB"/>
        </w:rPr>
        <w:t>’</w:t>
      </w:r>
      <w:r w:rsidRPr="0028380A">
        <w:rPr>
          <w:lang w:val="en-GB"/>
        </w:rPr>
        <w:t xml:space="preserve"> objectives and strategies</w:t>
      </w:r>
      <w:r w:rsidR="0053270C" w:rsidRPr="0028380A">
        <w:rPr>
          <w:lang w:val="en-GB"/>
        </w:rPr>
        <w:t xml:space="preserve"> and that protection is effectively mainstreamed in the work of the other sectors</w:t>
      </w:r>
      <w:r w:rsidRPr="0028380A">
        <w:rPr>
          <w:lang w:val="en-GB"/>
        </w:rPr>
        <w:t>;</w:t>
      </w:r>
    </w:p>
    <w:p w:rsidR="005F5CC0" w:rsidRPr="0028380A" w:rsidRDefault="00EA4EB9" w:rsidP="005F5CC0">
      <w:pPr>
        <w:numPr>
          <w:ilvl w:val="0"/>
          <w:numId w:val="11"/>
        </w:numPr>
        <w:spacing w:after="120" w:line="240" w:lineRule="auto"/>
        <w:jc w:val="both"/>
        <w:rPr>
          <w:lang w:val="en-GB"/>
        </w:rPr>
      </w:pPr>
      <w:r w:rsidRPr="0028380A">
        <w:rPr>
          <w:lang w:val="en-GB"/>
        </w:rPr>
        <w:t>Maintain the</w:t>
      </w:r>
      <w:r w:rsidR="007E3DA3" w:rsidRPr="0028380A">
        <w:rPr>
          <w:lang w:val="en-GB"/>
        </w:rPr>
        <w:t xml:space="preserve"> relationship with relevant Government counterparts</w:t>
      </w:r>
      <w:r w:rsidR="005F5CC0" w:rsidRPr="0028380A">
        <w:rPr>
          <w:lang w:val="en-GB"/>
        </w:rPr>
        <w:t xml:space="preserve">, </w:t>
      </w:r>
      <w:r w:rsidR="00C56FF5" w:rsidRPr="0028380A">
        <w:rPr>
          <w:lang w:val="en-GB"/>
        </w:rPr>
        <w:t>the donor community</w:t>
      </w:r>
      <w:r w:rsidR="00E16AFD" w:rsidRPr="0028380A">
        <w:rPr>
          <w:lang w:val="en-GB"/>
        </w:rPr>
        <w:t>,</w:t>
      </w:r>
      <w:r w:rsidR="005F5CC0" w:rsidRPr="0028380A">
        <w:rPr>
          <w:lang w:val="en-GB"/>
        </w:rPr>
        <w:t xml:space="preserve"> and other relevant humanitarian and development actors;</w:t>
      </w:r>
    </w:p>
    <w:p w:rsidR="009F40A1" w:rsidRPr="0028380A" w:rsidRDefault="005F5CC0" w:rsidP="00991F32">
      <w:pPr>
        <w:numPr>
          <w:ilvl w:val="0"/>
          <w:numId w:val="11"/>
        </w:numPr>
        <w:autoSpaceDE w:val="0"/>
        <w:autoSpaceDN w:val="0"/>
        <w:adjustRightInd w:val="0"/>
        <w:spacing w:after="0" w:line="240" w:lineRule="auto"/>
        <w:jc w:val="both"/>
      </w:pPr>
      <w:r w:rsidRPr="0028380A">
        <w:rPr>
          <w:lang w:val="en-GB"/>
        </w:rPr>
        <w:t>I</w:t>
      </w:r>
      <w:r w:rsidR="00E16AFD" w:rsidRPr="0028380A">
        <w:rPr>
          <w:lang w:val="en-GB"/>
        </w:rPr>
        <w:t>dentify common advocacy messages</w:t>
      </w:r>
      <w:r w:rsidRPr="0028380A">
        <w:rPr>
          <w:lang w:val="en-GB"/>
        </w:rPr>
        <w:t xml:space="preserve"> </w:t>
      </w:r>
      <w:r w:rsidR="00302DD3" w:rsidRPr="0028380A">
        <w:t xml:space="preserve">on core legal and physical protection concerns, especially for </w:t>
      </w:r>
      <w:r w:rsidR="00991F32" w:rsidRPr="0028380A">
        <w:t>groups</w:t>
      </w:r>
      <w:r w:rsidR="00302DD3" w:rsidRPr="0028380A">
        <w:t xml:space="preserve"> with specific needs </w:t>
      </w:r>
      <w:r w:rsidRPr="0028380A">
        <w:rPr>
          <w:lang w:val="en-GB"/>
        </w:rPr>
        <w:t>and ensure that they are informing discussions in inter-sector meetings, the RRP6 Steering Committee, and the HCT</w:t>
      </w:r>
      <w:r w:rsidR="007E3DA3" w:rsidRPr="0028380A">
        <w:rPr>
          <w:lang w:val="en-GB"/>
        </w:rPr>
        <w:t>;</w:t>
      </w:r>
    </w:p>
    <w:p w:rsidR="005814E2" w:rsidRPr="0028380A" w:rsidRDefault="005814E2" w:rsidP="005814E2">
      <w:pPr>
        <w:autoSpaceDE w:val="0"/>
        <w:autoSpaceDN w:val="0"/>
        <w:adjustRightInd w:val="0"/>
        <w:spacing w:after="0" w:line="240" w:lineRule="auto"/>
        <w:ind w:left="720"/>
        <w:jc w:val="both"/>
      </w:pPr>
    </w:p>
    <w:p w:rsidR="009F40A1" w:rsidRPr="0028380A" w:rsidRDefault="009F40A1" w:rsidP="00991F32">
      <w:pPr>
        <w:numPr>
          <w:ilvl w:val="0"/>
          <w:numId w:val="11"/>
        </w:numPr>
        <w:spacing w:after="120" w:line="240" w:lineRule="auto"/>
        <w:jc w:val="both"/>
        <w:rPr>
          <w:lang w:val="en-GB"/>
        </w:rPr>
      </w:pPr>
      <w:r w:rsidRPr="0028380A">
        <w:rPr>
          <w:lang w:val="en-GB"/>
        </w:rPr>
        <w:t>Devise communication</w:t>
      </w:r>
      <w:r w:rsidR="006F0B7D" w:rsidRPr="0028380A">
        <w:rPr>
          <w:lang w:val="en-GB"/>
        </w:rPr>
        <w:t>/ outreach</w:t>
      </w:r>
      <w:r w:rsidRPr="0028380A">
        <w:rPr>
          <w:lang w:val="en-GB"/>
        </w:rPr>
        <w:t xml:space="preserve"> strategies towards beneficiaries;</w:t>
      </w:r>
      <w:r w:rsidR="00CB35AA" w:rsidRPr="0028380A">
        <w:rPr>
          <w:lang w:val="en-GB"/>
        </w:rPr>
        <w:t xml:space="preserve"> and</w:t>
      </w:r>
    </w:p>
    <w:p w:rsidR="007E3DA3" w:rsidRPr="0028380A" w:rsidRDefault="005F5CC0" w:rsidP="00CB35AA">
      <w:pPr>
        <w:numPr>
          <w:ilvl w:val="0"/>
          <w:numId w:val="11"/>
        </w:numPr>
        <w:spacing w:after="120" w:line="240" w:lineRule="auto"/>
        <w:jc w:val="both"/>
        <w:rPr>
          <w:lang w:val="en-GB"/>
        </w:rPr>
      </w:pPr>
      <w:r w:rsidRPr="0028380A">
        <w:rPr>
          <w:lang w:val="en-GB"/>
        </w:rPr>
        <w:t>Participate in</w:t>
      </w:r>
      <w:r w:rsidR="00CB35AA" w:rsidRPr="0028380A">
        <w:rPr>
          <w:lang w:val="en-GB"/>
        </w:rPr>
        <w:t xml:space="preserve"> contingency planning </w:t>
      </w:r>
      <w:r w:rsidRPr="0028380A">
        <w:rPr>
          <w:lang w:val="en-GB"/>
        </w:rPr>
        <w:t xml:space="preserve">and preparedness </w:t>
      </w:r>
      <w:r w:rsidR="00CB35AA" w:rsidRPr="0028380A">
        <w:rPr>
          <w:lang w:val="en-GB"/>
        </w:rPr>
        <w:t>processes.</w:t>
      </w:r>
      <w:r w:rsidRPr="0028380A">
        <w:rPr>
          <w:lang w:val="en-GB"/>
        </w:rPr>
        <w:t xml:space="preserve"> </w:t>
      </w:r>
    </w:p>
    <w:p w:rsidR="004D1F4C" w:rsidRPr="0028380A" w:rsidRDefault="004D1F4C" w:rsidP="00CB35AA">
      <w:pPr>
        <w:spacing w:after="120" w:line="240" w:lineRule="auto"/>
        <w:jc w:val="both"/>
        <w:rPr>
          <w:b/>
          <w:bCs/>
          <w:lang w:val="en-GB"/>
        </w:rPr>
      </w:pPr>
    </w:p>
    <w:p w:rsidR="004A1DBD" w:rsidRPr="0028380A" w:rsidRDefault="004A1DBD" w:rsidP="00CB35AA">
      <w:pPr>
        <w:spacing w:after="120" w:line="240" w:lineRule="auto"/>
        <w:jc w:val="both"/>
        <w:rPr>
          <w:b/>
          <w:bCs/>
          <w:lang w:val="en-GB"/>
        </w:rPr>
      </w:pPr>
    </w:p>
    <w:p w:rsidR="004A1DBD" w:rsidRPr="0028380A" w:rsidRDefault="004A1DBD" w:rsidP="00CB35AA">
      <w:pPr>
        <w:spacing w:after="120" w:line="240" w:lineRule="auto"/>
        <w:jc w:val="both"/>
        <w:rPr>
          <w:b/>
          <w:bCs/>
          <w:lang w:val="en-GB"/>
        </w:rPr>
      </w:pPr>
    </w:p>
    <w:p w:rsidR="00E83FB0" w:rsidRPr="0028380A" w:rsidRDefault="00464D8C" w:rsidP="00CB35AA">
      <w:pPr>
        <w:spacing w:after="120" w:line="240" w:lineRule="auto"/>
        <w:jc w:val="both"/>
        <w:rPr>
          <w:b/>
          <w:bCs/>
          <w:lang w:val="en-GB"/>
        </w:rPr>
      </w:pPr>
      <w:r w:rsidRPr="0028380A">
        <w:rPr>
          <w:b/>
          <w:bCs/>
          <w:lang w:val="en-GB"/>
        </w:rPr>
        <w:t>Core Group</w:t>
      </w:r>
      <w:r w:rsidR="003832FC" w:rsidRPr="0028380A">
        <w:rPr>
          <w:b/>
          <w:bCs/>
          <w:lang w:val="en-GB"/>
        </w:rPr>
        <w:t xml:space="preserve">  </w:t>
      </w:r>
      <w:r w:rsidR="003832FC" w:rsidRPr="0028380A">
        <w:rPr>
          <w:b/>
          <w:bCs/>
          <w:lang w:val="en-GB"/>
        </w:rPr>
        <w:sym w:font="Wingdings" w:char="F0E0"/>
      </w:r>
      <w:r w:rsidR="003832FC" w:rsidRPr="0028380A">
        <w:rPr>
          <w:b/>
          <w:bCs/>
          <w:lang w:val="en-GB"/>
        </w:rPr>
        <w:t xml:space="preserve"> See </w:t>
      </w:r>
      <w:r w:rsidR="00EA4EB9" w:rsidRPr="0028380A">
        <w:rPr>
          <w:b/>
          <w:bCs/>
          <w:lang w:val="en-GB"/>
        </w:rPr>
        <w:t>Annex I</w:t>
      </w:r>
    </w:p>
    <w:p w:rsidR="00BB2CFC" w:rsidRPr="0028380A" w:rsidRDefault="003832FC" w:rsidP="002911C4">
      <w:pPr>
        <w:spacing w:after="120" w:line="240" w:lineRule="auto"/>
        <w:jc w:val="both"/>
        <w:rPr>
          <w:rFonts w:eastAsia="Times New Roman" w:cstheme="minorHAnsi"/>
        </w:rPr>
      </w:pPr>
      <w:r w:rsidRPr="0028380A">
        <w:rPr>
          <w:lang w:val="en-GB"/>
        </w:rPr>
        <w:t xml:space="preserve">Given </w:t>
      </w:r>
      <w:r w:rsidR="002B20B1" w:rsidRPr="0028380A">
        <w:rPr>
          <w:lang w:val="en-GB"/>
        </w:rPr>
        <w:t>the number of parti</w:t>
      </w:r>
      <w:r w:rsidR="00897E98" w:rsidRPr="0028380A">
        <w:rPr>
          <w:lang w:val="en-GB"/>
        </w:rPr>
        <w:t>ci</w:t>
      </w:r>
      <w:r w:rsidR="002B20B1" w:rsidRPr="0028380A">
        <w:rPr>
          <w:lang w:val="en-GB"/>
        </w:rPr>
        <w:t xml:space="preserve">pating agencies </w:t>
      </w:r>
      <w:r w:rsidRPr="0028380A">
        <w:rPr>
          <w:lang w:val="en-GB"/>
        </w:rPr>
        <w:t xml:space="preserve">to the national PWG, </w:t>
      </w:r>
      <w:r w:rsidR="00DB3F18" w:rsidRPr="0028380A">
        <w:rPr>
          <w:lang w:val="en-GB"/>
        </w:rPr>
        <w:t xml:space="preserve">in consultation with the </w:t>
      </w:r>
      <w:r w:rsidR="002911C4">
        <w:rPr>
          <w:lang w:val="en-GB"/>
        </w:rPr>
        <w:t xml:space="preserve">sector </w:t>
      </w:r>
      <w:r w:rsidR="00DB3F18" w:rsidRPr="0028380A">
        <w:rPr>
          <w:lang w:val="en-GB"/>
        </w:rPr>
        <w:t xml:space="preserve">Partners </w:t>
      </w:r>
      <w:r w:rsidRPr="0028380A">
        <w:rPr>
          <w:lang w:val="en-GB"/>
        </w:rPr>
        <w:t xml:space="preserve">the PWG has agreed to form a </w:t>
      </w:r>
      <w:r w:rsidR="00DB3F18" w:rsidRPr="0028380A">
        <w:rPr>
          <w:lang w:val="en-GB"/>
        </w:rPr>
        <w:t xml:space="preserve">Core Group of agencies </w:t>
      </w:r>
      <w:r w:rsidR="002B20B1" w:rsidRPr="0028380A">
        <w:rPr>
          <w:lang w:val="en-GB"/>
        </w:rPr>
        <w:t>for more in-depth review and guidance on matters of concern to the WG</w:t>
      </w:r>
      <w:r w:rsidR="00BB2CFC" w:rsidRPr="0028380A">
        <w:rPr>
          <w:lang w:val="en-GB"/>
        </w:rPr>
        <w:t xml:space="preserve">, and to </w:t>
      </w:r>
      <w:r w:rsidR="00BB2CFC" w:rsidRPr="0028380A">
        <w:rPr>
          <w:rFonts w:eastAsia="Times New Roman" w:cstheme="minorHAnsi"/>
        </w:rPr>
        <w:t>enhance strategic direction, planning and inclusive decision-making.</w:t>
      </w:r>
    </w:p>
    <w:p w:rsidR="0065046A" w:rsidRPr="0028380A" w:rsidRDefault="0065046A" w:rsidP="00BB2CFC">
      <w:pPr>
        <w:spacing w:after="120" w:line="240" w:lineRule="auto"/>
        <w:jc w:val="both"/>
        <w:rPr>
          <w:rFonts w:eastAsia="Times New Roman" w:cstheme="minorHAnsi"/>
        </w:rPr>
      </w:pPr>
    </w:p>
    <w:p w:rsidR="00EA4EB9" w:rsidRPr="0028380A" w:rsidRDefault="00EA4EB9" w:rsidP="00EA4EB9">
      <w:pPr>
        <w:spacing w:after="120" w:line="240" w:lineRule="auto"/>
        <w:jc w:val="both"/>
        <w:rPr>
          <w:b/>
          <w:bCs/>
          <w:lang w:val="en-GB"/>
        </w:rPr>
      </w:pPr>
      <w:r w:rsidRPr="0028380A">
        <w:rPr>
          <w:b/>
          <w:bCs/>
          <w:lang w:val="en-GB"/>
        </w:rPr>
        <w:t>Technical Task Forces</w:t>
      </w:r>
    </w:p>
    <w:p w:rsidR="005814E2" w:rsidRPr="0028380A" w:rsidRDefault="00EA4EB9" w:rsidP="00EA4EB9">
      <w:pPr>
        <w:spacing w:after="120" w:line="240" w:lineRule="auto"/>
        <w:jc w:val="both"/>
        <w:rPr>
          <w:lang w:val="en-GB"/>
        </w:rPr>
      </w:pPr>
      <w:r w:rsidRPr="0028380A">
        <w:rPr>
          <w:bCs/>
          <w:lang w:val="en-GB"/>
        </w:rPr>
        <w:t xml:space="preserve">The PWG may agree to form specific Technical Task forces, on a temporary or permanent basis, to </w:t>
      </w:r>
      <w:r w:rsidRPr="0028380A">
        <w:rPr>
          <w:lang w:val="en-GB"/>
        </w:rPr>
        <w:t>provide a forum of experts to address certain thematic issues that require concerted action.</w:t>
      </w:r>
    </w:p>
    <w:p w:rsidR="0065046A" w:rsidRPr="0028380A" w:rsidRDefault="0065046A" w:rsidP="00EA4EB9">
      <w:pPr>
        <w:spacing w:after="120" w:line="240" w:lineRule="auto"/>
        <w:jc w:val="both"/>
        <w:rPr>
          <w:lang w:val="en-GB"/>
        </w:rPr>
      </w:pPr>
    </w:p>
    <w:p w:rsidR="005814E2" w:rsidRPr="0028380A" w:rsidRDefault="00F27294" w:rsidP="00EA4EB9">
      <w:pPr>
        <w:spacing w:after="120" w:line="240" w:lineRule="auto"/>
        <w:jc w:val="both"/>
        <w:rPr>
          <w:b/>
          <w:bCs/>
          <w:lang w:val="en-GB"/>
        </w:rPr>
      </w:pPr>
      <w:r w:rsidRPr="0028380A">
        <w:rPr>
          <w:b/>
          <w:bCs/>
          <w:lang w:val="en-GB"/>
        </w:rPr>
        <w:t>Principle</w:t>
      </w:r>
      <w:r w:rsidR="0065046A" w:rsidRPr="0028380A">
        <w:rPr>
          <w:b/>
          <w:bCs/>
          <w:lang w:val="en-GB"/>
        </w:rPr>
        <w:t>s</w:t>
      </w:r>
      <w:r w:rsidRPr="0028380A">
        <w:rPr>
          <w:b/>
          <w:bCs/>
          <w:lang w:val="en-GB"/>
        </w:rPr>
        <w:t xml:space="preserve"> of partnership</w:t>
      </w:r>
    </w:p>
    <w:p w:rsidR="00F27294" w:rsidRPr="0028380A" w:rsidRDefault="00F27294" w:rsidP="00F27294">
      <w:pPr>
        <w:pStyle w:val="CommentText"/>
        <w:spacing w:after="0" w:line="240" w:lineRule="auto"/>
        <w:rPr>
          <w:sz w:val="22"/>
          <w:szCs w:val="22"/>
          <w:lang w:val="en-GB"/>
        </w:rPr>
      </w:pPr>
      <w:r w:rsidRPr="0028380A">
        <w:rPr>
          <w:sz w:val="22"/>
          <w:szCs w:val="22"/>
          <w:lang w:val="en-GB"/>
        </w:rPr>
        <w:t xml:space="preserve">PWG partners will commit to </w:t>
      </w:r>
    </w:p>
    <w:p w:rsidR="0021289D" w:rsidRPr="0028380A" w:rsidRDefault="00F27294" w:rsidP="0065046A">
      <w:pPr>
        <w:pStyle w:val="CommentText"/>
        <w:numPr>
          <w:ilvl w:val="0"/>
          <w:numId w:val="25"/>
        </w:numPr>
        <w:spacing w:after="0" w:line="240" w:lineRule="auto"/>
        <w:ind w:left="284" w:hanging="284"/>
        <w:rPr>
          <w:sz w:val="22"/>
          <w:szCs w:val="22"/>
          <w:lang w:val="en-GB"/>
        </w:rPr>
      </w:pPr>
      <w:r w:rsidRPr="0028380A">
        <w:rPr>
          <w:sz w:val="22"/>
          <w:szCs w:val="22"/>
          <w:lang w:val="en-GB"/>
        </w:rPr>
        <w:t xml:space="preserve">adhere to </w:t>
      </w:r>
      <w:r w:rsidR="0021289D" w:rsidRPr="0028380A">
        <w:rPr>
          <w:sz w:val="22"/>
          <w:szCs w:val="22"/>
          <w:lang w:val="en-GB"/>
        </w:rPr>
        <w:t>recognized protection standard</w:t>
      </w:r>
      <w:r w:rsidRPr="0028380A">
        <w:rPr>
          <w:sz w:val="22"/>
          <w:szCs w:val="22"/>
          <w:lang w:val="en-GB"/>
        </w:rPr>
        <w:t>s</w:t>
      </w:r>
      <w:r w:rsidR="00826AB6" w:rsidRPr="0028380A">
        <w:rPr>
          <w:sz w:val="22"/>
          <w:szCs w:val="22"/>
          <w:lang w:val="en-GB"/>
        </w:rPr>
        <w:t>;</w:t>
      </w:r>
    </w:p>
    <w:p w:rsidR="0021289D" w:rsidRPr="0028380A" w:rsidRDefault="0065046A" w:rsidP="002911C4">
      <w:pPr>
        <w:pStyle w:val="CommentText"/>
        <w:numPr>
          <w:ilvl w:val="0"/>
          <w:numId w:val="25"/>
        </w:numPr>
        <w:spacing w:after="0" w:line="240" w:lineRule="auto"/>
        <w:ind w:left="284" w:hanging="284"/>
        <w:rPr>
          <w:sz w:val="22"/>
          <w:szCs w:val="22"/>
          <w:lang w:val="en-GB"/>
        </w:rPr>
      </w:pPr>
      <w:r w:rsidRPr="0028380A">
        <w:rPr>
          <w:sz w:val="22"/>
          <w:szCs w:val="22"/>
          <w:lang w:val="en-GB"/>
        </w:rPr>
        <w:t xml:space="preserve">ensure </w:t>
      </w:r>
      <w:r w:rsidR="0021289D" w:rsidRPr="0028380A">
        <w:rPr>
          <w:sz w:val="22"/>
          <w:szCs w:val="22"/>
          <w:lang w:val="en-GB"/>
        </w:rPr>
        <w:t xml:space="preserve">predictable participation within the sector and engagement in </w:t>
      </w:r>
      <w:r w:rsidR="00826AB6" w:rsidRPr="0028380A">
        <w:rPr>
          <w:sz w:val="22"/>
          <w:szCs w:val="22"/>
          <w:lang w:val="en-GB"/>
        </w:rPr>
        <w:t>its collective work</w:t>
      </w:r>
      <w:r w:rsidR="002911C4">
        <w:rPr>
          <w:sz w:val="22"/>
          <w:szCs w:val="22"/>
          <w:lang w:val="en-GB"/>
        </w:rPr>
        <w:t xml:space="preserve"> </w:t>
      </w:r>
      <w:r w:rsidR="00826AB6" w:rsidRPr="0028380A">
        <w:rPr>
          <w:sz w:val="22"/>
          <w:szCs w:val="22"/>
          <w:lang w:val="en-GB"/>
        </w:rPr>
        <w:t xml:space="preserve"> </w:t>
      </w:r>
      <w:r w:rsidR="0021289D" w:rsidRPr="0028380A">
        <w:rPr>
          <w:sz w:val="22"/>
          <w:szCs w:val="22"/>
          <w:lang w:val="en-GB"/>
        </w:rPr>
        <w:t>including by nominating a focal point and alternate to participate to the PWG meetings</w:t>
      </w:r>
      <w:r w:rsidR="00826AB6" w:rsidRPr="0028380A">
        <w:rPr>
          <w:sz w:val="22"/>
          <w:szCs w:val="22"/>
          <w:lang w:val="en-GB"/>
        </w:rPr>
        <w:t>;</w:t>
      </w:r>
    </w:p>
    <w:p w:rsidR="0021289D" w:rsidRPr="0028380A" w:rsidRDefault="00826AB6" w:rsidP="0065046A">
      <w:pPr>
        <w:pStyle w:val="CommentText"/>
        <w:numPr>
          <w:ilvl w:val="0"/>
          <w:numId w:val="25"/>
        </w:numPr>
        <w:spacing w:after="0" w:line="240" w:lineRule="auto"/>
        <w:ind w:left="284" w:hanging="284"/>
        <w:rPr>
          <w:sz w:val="22"/>
          <w:szCs w:val="22"/>
          <w:lang w:val="en-GB"/>
        </w:rPr>
      </w:pPr>
      <w:r w:rsidRPr="0028380A">
        <w:rPr>
          <w:sz w:val="22"/>
          <w:szCs w:val="22"/>
          <w:lang w:val="en-GB"/>
        </w:rPr>
        <w:t>ensure c</w:t>
      </w:r>
      <w:r w:rsidR="0021289D" w:rsidRPr="0028380A">
        <w:rPr>
          <w:sz w:val="22"/>
          <w:szCs w:val="22"/>
          <w:lang w:val="en-GB"/>
        </w:rPr>
        <w:t>apacity and willingness to contribute to the strategic response plan and activities</w:t>
      </w:r>
      <w:r w:rsidRPr="0028380A">
        <w:rPr>
          <w:sz w:val="22"/>
          <w:szCs w:val="22"/>
          <w:lang w:val="en-GB"/>
        </w:rPr>
        <w:t>;</w:t>
      </w:r>
    </w:p>
    <w:p w:rsidR="0021289D" w:rsidRPr="0028380A" w:rsidRDefault="00826AB6" w:rsidP="0065046A">
      <w:pPr>
        <w:pStyle w:val="CommentText"/>
        <w:numPr>
          <w:ilvl w:val="0"/>
          <w:numId w:val="25"/>
        </w:numPr>
        <w:spacing w:after="0" w:line="240" w:lineRule="auto"/>
        <w:ind w:left="284" w:hanging="284"/>
        <w:rPr>
          <w:sz w:val="22"/>
          <w:szCs w:val="22"/>
          <w:lang w:val="en-GB"/>
        </w:rPr>
      </w:pPr>
      <w:r w:rsidRPr="0028380A">
        <w:rPr>
          <w:sz w:val="22"/>
          <w:szCs w:val="22"/>
          <w:lang w:val="en-GB"/>
        </w:rPr>
        <w:t>mainstream</w:t>
      </w:r>
      <w:r w:rsidR="0021289D" w:rsidRPr="0028380A">
        <w:rPr>
          <w:sz w:val="22"/>
          <w:szCs w:val="22"/>
          <w:lang w:val="en-GB"/>
        </w:rPr>
        <w:t xml:space="preserve"> key programmatic cross-cutting issues (in</w:t>
      </w:r>
      <w:r w:rsidR="00CE7352">
        <w:rPr>
          <w:sz w:val="22"/>
          <w:szCs w:val="22"/>
          <w:lang w:val="en-GB"/>
        </w:rPr>
        <w:t>cluding age, gender, diversity);</w:t>
      </w:r>
    </w:p>
    <w:p w:rsidR="0021289D" w:rsidRPr="0028380A" w:rsidRDefault="0021289D" w:rsidP="0065046A">
      <w:pPr>
        <w:pStyle w:val="CommentText"/>
        <w:numPr>
          <w:ilvl w:val="0"/>
          <w:numId w:val="25"/>
        </w:numPr>
        <w:spacing w:after="0" w:line="240" w:lineRule="auto"/>
        <w:ind w:left="284" w:hanging="284"/>
        <w:rPr>
          <w:sz w:val="22"/>
          <w:szCs w:val="22"/>
          <w:lang w:val="en-GB"/>
        </w:rPr>
      </w:pPr>
      <w:r w:rsidRPr="0028380A">
        <w:rPr>
          <w:sz w:val="22"/>
          <w:szCs w:val="22"/>
          <w:lang w:val="en-GB"/>
        </w:rPr>
        <w:t>work cooperatively with other sector partners and share information through the established mechanisms, including</w:t>
      </w:r>
      <w:r w:rsidR="00CE7352">
        <w:rPr>
          <w:sz w:val="22"/>
          <w:szCs w:val="22"/>
          <w:lang w:val="en-GB"/>
        </w:rPr>
        <w:t xml:space="preserve"> on organizational resources;</w:t>
      </w:r>
    </w:p>
    <w:p w:rsidR="0021289D" w:rsidRPr="0028380A" w:rsidRDefault="00216923" w:rsidP="00F066DD">
      <w:pPr>
        <w:pStyle w:val="CommentText"/>
        <w:numPr>
          <w:ilvl w:val="0"/>
          <w:numId w:val="25"/>
        </w:numPr>
        <w:spacing w:after="0" w:line="240" w:lineRule="auto"/>
        <w:ind w:left="284" w:hanging="284"/>
        <w:rPr>
          <w:sz w:val="22"/>
          <w:szCs w:val="22"/>
          <w:lang w:val="en-GB"/>
        </w:rPr>
      </w:pPr>
      <w:r w:rsidRPr="0028380A">
        <w:rPr>
          <w:sz w:val="22"/>
          <w:szCs w:val="22"/>
          <w:lang w:val="en-GB"/>
        </w:rPr>
        <w:t xml:space="preserve"> </w:t>
      </w:r>
      <w:proofErr w:type="gramStart"/>
      <w:r w:rsidRPr="0028380A">
        <w:rPr>
          <w:sz w:val="22"/>
          <w:szCs w:val="22"/>
          <w:lang w:val="en-GB"/>
        </w:rPr>
        <w:t>b</w:t>
      </w:r>
      <w:r w:rsidR="0021289D" w:rsidRPr="0028380A">
        <w:rPr>
          <w:sz w:val="22"/>
          <w:szCs w:val="22"/>
          <w:lang w:val="en-GB"/>
        </w:rPr>
        <w:t>e</w:t>
      </w:r>
      <w:proofErr w:type="gramEnd"/>
      <w:r w:rsidR="0021289D" w:rsidRPr="0028380A">
        <w:rPr>
          <w:sz w:val="22"/>
          <w:szCs w:val="22"/>
          <w:lang w:val="en-GB"/>
        </w:rPr>
        <w:t xml:space="preserve"> ready to facilitate participation, </w:t>
      </w:r>
      <w:r w:rsidR="00F066DD" w:rsidRPr="0028380A">
        <w:rPr>
          <w:sz w:val="22"/>
          <w:szCs w:val="22"/>
          <w:lang w:val="en-GB"/>
        </w:rPr>
        <w:t xml:space="preserve">including </w:t>
      </w:r>
      <w:r w:rsidR="0021289D" w:rsidRPr="0028380A">
        <w:rPr>
          <w:sz w:val="22"/>
          <w:szCs w:val="22"/>
          <w:lang w:val="en-GB"/>
        </w:rPr>
        <w:t>from local organizations</w:t>
      </w:r>
      <w:r w:rsidR="00991F32" w:rsidRPr="0028380A">
        <w:rPr>
          <w:sz w:val="22"/>
          <w:szCs w:val="22"/>
          <w:lang w:val="en-GB"/>
        </w:rPr>
        <w:t>.</w:t>
      </w:r>
    </w:p>
    <w:p w:rsidR="00216923" w:rsidRPr="0028380A" w:rsidRDefault="00216923" w:rsidP="00216923">
      <w:pPr>
        <w:pStyle w:val="CommentText"/>
        <w:spacing w:after="0" w:line="240" w:lineRule="auto"/>
        <w:rPr>
          <w:sz w:val="22"/>
          <w:szCs w:val="22"/>
          <w:lang w:val="en-GB"/>
        </w:rPr>
      </w:pPr>
    </w:p>
    <w:p w:rsidR="00EA4EB9" w:rsidRPr="0028380A" w:rsidRDefault="009A2B38" w:rsidP="00216923">
      <w:pPr>
        <w:pStyle w:val="CommentText"/>
        <w:spacing w:after="0" w:line="240" w:lineRule="auto"/>
        <w:rPr>
          <w:sz w:val="22"/>
          <w:szCs w:val="22"/>
          <w:lang w:val="en-GB"/>
        </w:rPr>
      </w:pPr>
      <w:r w:rsidRPr="0028380A">
        <w:rPr>
          <w:sz w:val="22"/>
          <w:szCs w:val="22"/>
          <w:lang w:val="en-GB"/>
        </w:rPr>
        <w:t>An option is given to</w:t>
      </w:r>
      <w:r w:rsidR="00216923" w:rsidRPr="0028380A">
        <w:rPr>
          <w:sz w:val="22"/>
          <w:szCs w:val="22"/>
          <w:lang w:val="en-GB"/>
        </w:rPr>
        <w:t xml:space="preserve"> organizations who wish to attend in an observer status.</w:t>
      </w:r>
    </w:p>
    <w:p w:rsidR="00216923" w:rsidRPr="0028380A" w:rsidRDefault="00216923" w:rsidP="00216923">
      <w:pPr>
        <w:pStyle w:val="CommentText"/>
        <w:spacing w:after="0" w:line="240" w:lineRule="auto"/>
        <w:rPr>
          <w:sz w:val="22"/>
          <w:szCs w:val="22"/>
          <w:lang w:val="en-GB"/>
        </w:rPr>
      </w:pPr>
    </w:p>
    <w:p w:rsidR="00216923" w:rsidRPr="0028380A" w:rsidRDefault="00216923" w:rsidP="00216923">
      <w:pPr>
        <w:spacing w:after="120" w:line="240" w:lineRule="auto"/>
        <w:jc w:val="both"/>
        <w:rPr>
          <w:b/>
          <w:bCs/>
          <w:lang w:val="en-GB"/>
        </w:rPr>
      </w:pPr>
      <w:r w:rsidRPr="0028380A">
        <w:rPr>
          <w:b/>
          <w:bCs/>
          <w:lang w:val="en-GB"/>
        </w:rPr>
        <w:t xml:space="preserve">Validity </w:t>
      </w:r>
    </w:p>
    <w:p w:rsidR="00625B8D" w:rsidRPr="0028380A" w:rsidRDefault="00625B8D" w:rsidP="00114AB2">
      <w:pPr>
        <w:pStyle w:val="NoSpacing"/>
        <w:spacing w:after="120"/>
        <w:jc w:val="both"/>
      </w:pPr>
      <w:r w:rsidRPr="0028380A">
        <w:t>There is no time limit for the validity of these TORs; the TORs can be revised when the members</w:t>
      </w:r>
      <w:r w:rsidR="00114AB2" w:rsidRPr="0028380A">
        <w:t xml:space="preserve"> </w:t>
      </w:r>
      <w:r w:rsidRPr="0028380A">
        <w:t>agree to revise the document.</w:t>
      </w:r>
    </w:p>
    <w:p w:rsidR="00EA4EB9" w:rsidRPr="0028380A" w:rsidRDefault="00EA4EB9" w:rsidP="00EA4EB9">
      <w:pPr>
        <w:pStyle w:val="NoSpacing"/>
        <w:spacing w:after="120"/>
        <w:jc w:val="both"/>
        <w:rPr>
          <w:b/>
        </w:rPr>
      </w:pPr>
    </w:p>
    <w:p w:rsidR="001F4743" w:rsidRPr="0028380A" w:rsidRDefault="001F4743" w:rsidP="00991F32">
      <w:pPr>
        <w:spacing w:after="0" w:line="240" w:lineRule="auto"/>
        <w:rPr>
          <w:b/>
          <w:lang w:val="en-GB"/>
        </w:rPr>
      </w:pPr>
      <w:r w:rsidRPr="0028380A">
        <w:rPr>
          <w:b/>
          <w:lang w:val="en-GB"/>
        </w:rPr>
        <w:br w:type="page"/>
      </w:r>
    </w:p>
    <w:p w:rsidR="00EA4EB9" w:rsidRDefault="00EA4EB9" w:rsidP="00EA4EB9">
      <w:pPr>
        <w:pStyle w:val="NoSpacing"/>
        <w:spacing w:after="120"/>
        <w:jc w:val="both"/>
        <w:rPr>
          <w:b/>
          <w:lang w:val="en-GB"/>
        </w:rPr>
      </w:pPr>
    </w:p>
    <w:p w:rsidR="00EA4EB9" w:rsidRPr="0028380A" w:rsidRDefault="00D96EAB" w:rsidP="00EA4EB9">
      <w:pPr>
        <w:pStyle w:val="NoSpacing"/>
        <w:spacing w:after="120"/>
        <w:jc w:val="both"/>
        <w:rPr>
          <w:b/>
          <w:lang w:val="en-GB"/>
        </w:rPr>
      </w:pPr>
      <w:r>
        <w:rPr>
          <w:b/>
          <w:lang w:val="en-GB"/>
        </w:rPr>
        <w:t xml:space="preserve">Annex 1 - </w:t>
      </w:r>
      <w:proofErr w:type="spellStart"/>
      <w:r w:rsidR="00EA4EB9" w:rsidRPr="0028380A">
        <w:rPr>
          <w:b/>
          <w:lang w:val="en-GB"/>
        </w:rPr>
        <w:t>ToR</w:t>
      </w:r>
      <w:proofErr w:type="spellEnd"/>
      <w:r w:rsidR="00EA4EB9" w:rsidRPr="0028380A">
        <w:rPr>
          <w:b/>
          <w:lang w:val="en-GB"/>
        </w:rPr>
        <w:t xml:space="preserve"> of the C</w:t>
      </w:r>
      <w:r>
        <w:rPr>
          <w:b/>
          <w:lang w:val="en-GB"/>
        </w:rPr>
        <w:t xml:space="preserve">ore </w:t>
      </w:r>
      <w:r w:rsidR="00EA4EB9" w:rsidRPr="0028380A">
        <w:rPr>
          <w:b/>
          <w:lang w:val="en-GB"/>
        </w:rPr>
        <w:t>G</w:t>
      </w:r>
      <w:r>
        <w:rPr>
          <w:b/>
          <w:lang w:val="en-GB"/>
        </w:rPr>
        <w:t>roup</w:t>
      </w:r>
      <w:r w:rsidR="00EA4EB9" w:rsidRPr="0028380A">
        <w:rPr>
          <w:b/>
          <w:lang w:val="en-GB"/>
        </w:rPr>
        <w:t xml:space="preserve"> </w:t>
      </w:r>
      <w:r w:rsidR="00C6013F" w:rsidRPr="0028380A">
        <w:rPr>
          <w:b/>
          <w:lang w:val="en-GB"/>
        </w:rPr>
        <w:t xml:space="preserve">(as per RRP6 </w:t>
      </w:r>
      <w:r>
        <w:rPr>
          <w:b/>
          <w:lang w:val="en-GB"/>
        </w:rPr>
        <w:t xml:space="preserve">Steering Committee </w:t>
      </w:r>
      <w:r w:rsidR="00C6013F" w:rsidRPr="0028380A">
        <w:rPr>
          <w:b/>
          <w:lang w:val="en-GB"/>
        </w:rPr>
        <w:t>Recommendations)</w:t>
      </w:r>
    </w:p>
    <w:p w:rsidR="001F4743" w:rsidRPr="0028380A" w:rsidRDefault="001F4743" w:rsidP="001F4743">
      <w:pPr>
        <w:pStyle w:val="NoSpacing"/>
        <w:jc w:val="both"/>
        <w:rPr>
          <w:b/>
          <w:lang w:val="en-GB"/>
        </w:rPr>
      </w:pPr>
    </w:p>
    <w:p w:rsidR="001F4743" w:rsidRPr="0028380A" w:rsidRDefault="001F4743" w:rsidP="001F4743">
      <w:pPr>
        <w:keepNext/>
        <w:tabs>
          <w:tab w:val="left" w:pos="4380"/>
        </w:tabs>
        <w:spacing w:after="0" w:line="240" w:lineRule="auto"/>
        <w:ind w:firstLine="181"/>
        <w:jc w:val="center"/>
        <w:outlineLvl w:val="0"/>
        <w:rPr>
          <w:b/>
          <w:lang w:val="en-GB"/>
        </w:rPr>
      </w:pPr>
      <w:r w:rsidRPr="0028380A">
        <w:rPr>
          <w:b/>
          <w:lang w:val="en-GB"/>
        </w:rPr>
        <w:t>Protection Sector</w:t>
      </w:r>
    </w:p>
    <w:p w:rsidR="001F4743" w:rsidRPr="0028380A" w:rsidRDefault="001F4743" w:rsidP="001F4743">
      <w:pPr>
        <w:keepNext/>
        <w:tabs>
          <w:tab w:val="left" w:pos="4380"/>
        </w:tabs>
        <w:spacing w:after="0" w:line="240" w:lineRule="auto"/>
        <w:ind w:firstLine="181"/>
        <w:jc w:val="center"/>
        <w:outlineLvl w:val="0"/>
        <w:rPr>
          <w:b/>
          <w:lang w:val="en-GB"/>
        </w:rPr>
      </w:pPr>
      <w:r w:rsidRPr="0028380A">
        <w:rPr>
          <w:b/>
          <w:lang w:val="en-GB"/>
        </w:rPr>
        <w:t xml:space="preserve">National Protection Working Group </w:t>
      </w:r>
      <w:r w:rsidR="00114AB2" w:rsidRPr="0028380A">
        <w:rPr>
          <w:b/>
          <w:lang w:val="en-GB"/>
        </w:rPr>
        <w:t xml:space="preserve">- </w:t>
      </w:r>
      <w:r w:rsidRPr="0028380A">
        <w:rPr>
          <w:b/>
          <w:lang w:val="en-GB"/>
        </w:rPr>
        <w:t>Beirut</w:t>
      </w:r>
    </w:p>
    <w:p w:rsidR="001F4743" w:rsidRPr="0028380A" w:rsidRDefault="001F4743" w:rsidP="001F4743">
      <w:pPr>
        <w:keepNext/>
        <w:tabs>
          <w:tab w:val="left" w:pos="4380"/>
        </w:tabs>
        <w:spacing w:after="0" w:line="240" w:lineRule="auto"/>
        <w:ind w:firstLine="181"/>
        <w:jc w:val="center"/>
        <w:outlineLvl w:val="0"/>
        <w:rPr>
          <w:b/>
          <w:lang w:val="en-GB"/>
        </w:rPr>
      </w:pPr>
      <w:r w:rsidRPr="0028380A">
        <w:rPr>
          <w:b/>
          <w:lang w:val="en-GB"/>
        </w:rPr>
        <w:t>Core Group</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 xml:space="preserve">Given the considerable number of participating agencies, in consultation with the </w:t>
      </w:r>
      <w:r w:rsidR="00DC3BC7" w:rsidRPr="0028380A">
        <w:rPr>
          <w:rFonts w:cs="Tahoma"/>
          <w:lang w:eastAsia="en-GB"/>
        </w:rPr>
        <w:t xml:space="preserve">Protection </w:t>
      </w:r>
      <w:r w:rsidRPr="0028380A">
        <w:rPr>
          <w:rFonts w:cs="Tahoma"/>
          <w:lang w:eastAsia="en-GB"/>
        </w:rPr>
        <w:t>W</w:t>
      </w:r>
      <w:r w:rsidR="00DC3BC7" w:rsidRPr="0028380A">
        <w:rPr>
          <w:rFonts w:cs="Tahoma"/>
          <w:lang w:eastAsia="en-GB"/>
        </w:rPr>
        <w:t xml:space="preserve">orking </w:t>
      </w:r>
      <w:r w:rsidRPr="0028380A">
        <w:rPr>
          <w:rFonts w:cs="Tahoma"/>
          <w:lang w:eastAsia="en-GB"/>
        </w:rPr>
        <w:t>G</w:t>
      </w:r>
      <w:r w:rsidR="00DC3BC7" w:rsidRPr="0028380A">
        <w:rPr>
          <w:rFonts w:cs="Tahoma"/>
          <w:lang w:eastAsia="en-GB"/>
        </w:rPr>
        <w:t>roup</w:t>
      </w:r>
      <w:r w:rsidRPr="0028380A">
        <w:rPr>
          <w:rFonts w:cs="Tahoma"/>
          <w:lang w:eastAsia="en-GB"/>
        </w:rPr>
        <w:t xml:space="preserve"> partners, a Core Group (CG) of sector partners is formed, for more in-depth review, guidance and proposal on matters of concern to the WG, and to enhance strategic direction, planning and inclusive decision-making.</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 xml:space="preserve">The CG is collectively identified by the WG partners and is composed by agencies based on their </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 xml:space="preserve">(a) </w:t>
      </w:r>
      <w:proofErr w:type="gramStart"/>
      <w:r w:rsidRPr="0028380A">
        <w:rPr>
          <w:rFonts w:cs="Tahoma"/>
          <w:lang w:eastAsia="en-GB"/>
        </w:rPr>
        <w:t>operational</w:t>
      </w:r>
      <w:proofErr w:type="gramEnd"/>
      <w:r w:rsidRPr="0028380A">
        <w:rPr>
          <w:rFonts w:cs="Tahoma"/>
          <w:lang w:eastAsia="en-GB"/>
        </w:rPr>
        <w:t xml:space="preserve"> engagement in the response under the RRP;</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 xml:space="preserve">(b) </w:t>
      </w:r>
      <w:proofErr w:type="gramStart"/>
      <w:r w:rsidRPr="0028380A">
        <w:rPr>
          <w:rFonts w:cs="Tahoma"/>
          <w:lang w:eastAsia="en-GB"/>
        </w:rPr>
        <w:t>representation</w:t>
      </w:r>
      <w:proofErr w:type="gramEnd"/>
      <w:r w:rsidRPr="0028380A">
        <w:rPr>
          <w:rFonts w:cs="Tahoma"/>
          <w:lang w:eastAsia="en-GB"/>
        </w:rPr>
        <w:t xml:space="preserve"> of the various stakeholders in the sector;</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 xml:space="preserve">(c) </w:t>
      </w:r>
      <w:proofErr w:type="gramStart"/>
      <w:r w:rsidRPr="0028380A">
        <w:rPr>
          <w:rFonts w:cs="Tahoma"/>
          <w:lang w:eastAsia="en-GB"/>
        </w:rPr>
        <w:t>participation</w:t>
      </w:r>
      <w:proofErr w:type="gramEnd"/>
      <w:r w:rsidRPr="0028380A">
        <w:rPr>
          <w:rFonts w:cs="Tahoma"/>
          <w:lang w:eastAsia="en-GB"/>
        </w:rPr>
        <w:t xml:space="preserve"> in the sector working groups and country presence/ coverage.  </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Co-leads are ex officio members of the CG, and will report to the full membership of the WG on the work by the CG.  The CG membership should be representative of the overall sector partnership.</w:t>
      </w:r>
    </w:p>
    <w:p w:rsidR="00AB6735" w:rsidRPr="0028380A" w:rsidRDefault="00AB6735" w:rsidP="00AB6735">
      <w:pPr>
        <w:autoSpaceDE w:val="0"/>
        <w:autoSpaceDN w:val="0"/>
        <w:adjustRightInd w:val="0"/>
        <w:spacing w:before="240"/>
        <w:rPr>
          <w:rFonts w:cs="Tahoma"/>
          <w:lang w:eastAsia="en-GB"/>
        </w:rPr>
      </w:pPr>
      <w:r w:rsidRPr="0028380A">
        <w:rPr>
          <w:rFonts w:cs="Tahoma"/>
          <w:lang w:eastAsia="en-GB"/>
        </w:rPr>
        <w:t>The CG will:</w:t>
      </w:r>
    </w:p>
    <w:p w:rsidR="00AB6735" w:rsidRPr="0028380A" w:rsidRDefault="00AB6735" w:rsidP="00AB6735">
      <w:pPr>
        <w:numPr>
          <w:ilvl w:val="0"/>
          <w:numId w:val="22"/>
        </w:numPr>
        <w:autoSpaceDE w:val="0"/>
        <w:autoSpaceDN w:val="0"/>
        <w:adjustRightInd w:val="0"/>
        <w:spacing w:after="0" w:line="240" w:lineRule="auto"/>
        <w:ind w:right="-28"/>
        <w:rPr>
          <w:rFonts w:cs="Tahoma"/>
          <w:lang w:eastAsia="en-GB"/>
        </w:rPr>
      </w:pPr>
      <w:r w:rsidRPr="0028380A">
        <w:rPr>
          <w:rFonts w:cs="Tahoma"/>
          <w:lang w:eastAsia="en-GB"/>
        </w:rPr>
        <w:t>Provide guidance and develop</w:t>
      </w:r>
      <w:r w:rsidR="00991F32" w:rsidRPr="0028380A">
        <w:rPr>
          <w:rFonts w:cs="Tahoma"/>
          <w:lang w:eastAsia="en-GB"/>
        </w:rPr>
        <w:t>/</w:t>
      </w:r>
      <w:r w:rsidRPr="0028380A">
        <w:rPr>
          <w:rFonts w:cs="Tahoma"/>
          <w:lang w:eastAsia="en-GB"/>
        </w:rPr>
        <w:t>refine the sector strategy, including with respect to setting priority interventions, targets and indicators;</w:t>
      </w:r>
    </w:p>
    <w:p w:rsidR="00AB6735" w:rsidRPr="0028380A" w:rsidRDefault="00AB6735" w:rsidP="00AB6735">
      <w:pPr>
        <w:numPr>
          <w:ilvl w:val="0"/>
          <w:numId w:val="22"/>
        </w:numPr>
        <w:autoSpaceDE w:val="0"/>
        <w:autoSpaceDN w:val="0"/>
        <w:adjustRightInd w:val="0"/>
        <w:spacing w:after="0" w:line="240" w:lineRule="auto"/>
        <w:ind w:right="-28"/>
        <w:rPr>
          <w:rFonts w:cs="Tahoma"/>
          <w:lang w:eastAsia="en-GB"/>
        </w:rPr>
      </w:pPr>
      <w:r w:rsidRPr="0028380A">
        <w:rPr>
          <w:rFonts w:cs="Tahoma"/>
          <w:lang w:eastAsia="en-GB"/>
        </w:rPr>
        <w:t>Monitor implementation of the sector’s objectives against the RRP and assist in the identification of significant gaps;</w:t>
      </w:r>
    </w:p>
    <w:p w:rsidR="00AB6735" w:rsidRPr="0028380A" w:rsidRDefault="00AB6735" w:rsidP="00AB6735">
      <w:pPr>
        <w:numPr>
          <w:ilvl w:val="0"/>
          <w:numId w:val="22"/>
        </w:numPr>
        <w:autoSpaceDE w:val="0"/>
        <w:autoSpaceDN w:val="0"/>
        <w:adjustRightInd w:val="0"/>
        <w:spacing w:after="0" w:line="240" w:lineRule="auto"/>
        <w:ind w:right="-28"/>
        <w:rPr>
          <w:rFonts w:cs="Tahoma"/>
          <w:lang w:eastAsia="en-GB"/>
        </w:rPr>
      </w:pPr>
      <w:r w:rsidRPr="0028380A">
        <w:rPr>
          <w:rFonts w:cs="Tahoma"/>
          <w:lang w:eastAsia="en-GB"/>
        </w:rPr>
        <w:t xml:space="preserve">Provide strategic oversight on the prioritization of resources within the sector and on the division of </w:t>
      </w:r>
      <w:proofErr w:type="spellStart"/>
      <w:r w:rsidRPr="0028380A">
        <w:rPr>
          <w:rFonts w:cs="Tahoma"/>
          <w:lang w:eastAsia="en-GB"/>
        </w:rPr>
        <w:t>labour</w:t>
      </w:r>
      <w:proofErr w:type="spellEnd"/>
      <w:r w:rsidRPr="0028380A">
        <w:rPr>
          <w:rFonts w:cs="Tahoma"/>
          <w:lang w:eastAsia="en-GB"/>
        </w:rPr>
        <w:t xml:space="preserve"> amongst the sector’s partners;</w:t>
      </w:r>
    </w:p>
    <w:p w:rsidR="00AB6735" w:rsidRPr="0028380A" w:rsidRDefault="00AB6735" w:rsidP="00AB6735">
      <w:pPr>
        <w:numPr>
          <w:ilvl w:val="0"/>
          <w:numId w:val="22"/>
        </w:numPr>
        <w:autoSpaceDE w:val="0"/>
        <w:autoSpaceDN w:val="0"/>
        <w:adjustRightInd w:val="0"/>
        <w:spacing w:after="0" w:line="240" w:lineRule="auto"/>
        <w:ind w:right="-28"/>
        <w:rPr>
          <w:rFonts w:cs="Tahoma"/>
          <w:lang w:eastAsia="en-GB"/>
        </w:rPr>
      </w:pPr>
      <w:r w:rsidRPr="0028380A">
        <w:rPr>
          <w:rFonts w:cs="Tahoma"/>
          <w:lang w:eastAsia="en-GB"/>
        </w:rPr>
        <w:t xml:space="preserve">Propose common processes related to the sector’s response, such as contingency planning, joint or sector-specific assessments, use of common data collection and information management tools </w:t>
      </w:r>
      <w:r w:rsidR="006B3011">
        <w:rPr>
          <w:rFonts w:cs="Tahoma"/>
          <w:lang w:eastAsia="en-GB"/>
        </w:rPr>
        <w:t>for endorsement to the Working G</w:t>
      </w:r>
      <w:r w:rsidRPr="0028380A">
        <w:rPr>
          <w:rFonts w:cs="Tahoma"/>
          <w:lang w:eastAsia="en-GB"/>
        </w:rPr>
        <w:t>roup;</w:t>
      </w:r>
    </w:p>
    <w:p w:rsidR="00AB6735" w:rsidRPr="0028380A" w:rsidRDefault="00AB6735" w:rsidP="00AB6735">
      <w:pPr>
        <w:pStyle w:val="NoSpacing"/>
        <w:numPr>
          <w:ilvl w:val="0"/>
          <w:numId w:val="22"/>
        </w:numPr>
        <w:rPr>
          <w:lang w:val="en-GB"/>
        </w:rPr>
      </w:pPr>
      <w:r w:rsidRPr="0028380A">
        <w:rPr>
          <w:lang w:val="en-GB"/>
        </w:rPr>
        <w:t>Facilitate cross-</w:t>
      </w:r>
      <w:proofErr w:type="spellStart"/>
      <w:r w:rsidRPr="0028380A">
        <w:rPr>
          <w:lang w:val="en-GB"/>
        </w:rPr>
        <w:t>sectoral</w:t>
      </w:r>
      <w:proofErr w:type="spellEnd"/>
      <w:r w:rsidRPr="0028380A">
        <w:rPr>
          <w:lang w:val="en-GB"/>
        </w:rPr>
        <w:t xml:space="preserve"> coordination with other sectors; </w:t>
      </w:r>
    </w:p>
    <w:p w:rsidR="00AB6735" w:rsidRPr="0028380A" w:rsidRDefault="00AB6735" w:rsidP="00AB6735">
      <w:pPr>
        <w:pStyle w:val="NoSpacing"/>
        <w:numPr>
          <w:ilvl w:val="0"/>
          <w:numId w:val="22"/>
        </w:numPr>
        <w:rPr>
          <w:lang w:val="en-GB"/>
        </w:rPr>
      </w:pPr>
      <w:r w:rsidRPr="0028380A">
        <w:rPr>
          <w:lang w:val="en-GB"/>
        </w:rPr>
        <w:t xml:space="preserve">Strengthen advocacy efforts, including between the sector and donors; </w:t>
      </w:r>
    </w:p>
    <w:p w:rsidR="00AB6735" w:rsidRPr="0028380A" w:rsidRDefault="00AB6735" w:rsidP="00AB6735">
      <w:pPr>
        <w:numPr>
          <w:ilvl w:val="0"/>
          <w:numId w:val="22"/>
        </w:numPr>
        <w:autoSpaceDE w:val="0"/>
        <w:autoSpaceDN w:val="0"/>
        <w:adjustRightInd w:val="0"/>
        <w:spacing w:after="0" w:line="240" w:lineRule="auto"/>
        <w:ind w:right="-28"/>
        <w:rPr>
          <w:rFonts w:cs="Tahoma"/>
          <w:lang w:eastAsia="en-GB"/>
        </w:rPr>
      </w:pPr>
      <w:r w:rsidRPr="0028380A">
        <w:rPr>
          <w:rFonts w:cs="Tahoma"/>
          <w:lang w:eastAsia="en-GB"/>
        </w:rPr>
        <w:t>Support internal and external evaluation of the sector, and sharing of lessons learned.</w:t>
      </w:r>
    </w:p>
    <w:p w:rsidR="006B3011" w:rsidRDefault="006B3011" w:rsidP="006B3011">
      <w:pPr>
        <w:autoSpaceDE w:val="0"/>
        <w:autoSpaceDN w:val="0"/>
        <w:adjustRightInd w:val="0"/>
        <w:rPr>
          <w:rFonts w:cs="Tahoma"/>
          <w:lang w:eastAsia="en-GB"/>
        </w:rPr>
      </w:pPr>
    </w:p>
    <w:p w:rsidR="006B3011" w:rsidRPr="006B3011" w:rsidRDefault="006B3011" w:rsidP="006B3011">
      <w:pPr>
        <w:autoSpaceDE w:val="0"/>
        <w:autoSpaceDN w:val="0"/>
        <w:adjustRightInd w:val="0"/>
        <w:rPr>
          <w:rFonts w:cs="Tahoma"/>
          <w:lang w:eastAsia="en-GB"/>
        </w:rPr>
      </w:pPr>
      <w:r w:rsidRPr="006B3011">
        <w:rPr>
          <w:rFonts w:cs="Tahoma"/>
          <w:b/>
          <w:bCs/>
          <w:lang w:eastAsia="en-GB"/>
        </w:rPr>
        <w:t>Members of the Core Group:</w:t>
      </w:r>
      <w:r w:rsidRPr="006B3011">
        <w:rPr>
          <w:rFonts w:cs="Tahoma"/>
          <w:lang w:eastAsia="en-GB"/>
        </w:rPr>
        <w:t xml:space="preserve"> Sector coordinator, MOSA Representative, DRC (INGO), NRC</w:t>
      </w:r>
      <w:r w:rsidR="00B279BE">
        <w:rPr>
          <w:rFonts w:cs="Tahoma"/>
          <w:lang w:eastAsia="en-GB"/>
        </w:rPr>
        <w:t xml:space="preserve"> </w:t>
      </w:r>
      <w:r w:rsidRPr="006B3011">
        <w:rPr>
          <w:rFonts w:cs="Tahoma"/>
          <w:lang w:eastAsia="en-GB"/>
        </w:rPr>
        <w:t xml:space="preserve">(INGO), Oxfam (INGO), Help Age/Handicap International (representing the </w:t>
      </w:r>
      <w:proofErr w:type="spellStart"/>
      <w:r w:rsidRPr="006B3011">
        <w:rPr>
          <w:rFonts w:cs="Tahoma"/>
          <w:lang w:eastAsia="en-GB"/>
        </w:rPr>
        <w:t>DaOAWG</w:t>
      </w:r>
      <w:proofErr w:type="spellEnd"/>
      <w:r w:rsidRPr="006B3011">
        <w:rPr>
          <w:rFonts w:cs="Tahoma"/>
          <w:lang w:eastAsia="en-GB"/>
        </w:rPr>
        <w:t xml:space="preserve">), </w:t>
      </w:r>
      <w:proofErr w:type="spellStart"/>
      <w:r w:rsidRPr="006B3011">
        <w:rPr>
          <w:rFonts w:cs="Tahoma"/>
          <w:lang w:eastAsia="en-GB"/>
        </w:rPr>
        <w:t>Alef</w:t>
      </w:r>
      <w:proofErr w:type="spellEnd"/>
      <w:r w:rsidRPr="006B3011">
        <w:rPr>
          <w:rFonts w:cs="Tahoma"/>
          <w:lang w:eastAsia="en-GB"/>
        </w:rPr>
        <w:t xml:space="preserve"> (NGO), UNHCR, UNRWA, UNICEF, IOM, SGBV Task Force and CP Coordinators (as needed). </w:t>
      </w:r>
    </w:p>
    <w:p w:rsidR="00F91512" w:rsidRPr="0028380A" w:rsidRDefault="00F91512" w:rsidP="00625B8D">
      <w:pPr>
        <w:pStyle w:val="NoSpacing"/>
        <w:spacing w:after="120"/>
        <w:jc w:val="both"/>
      </w:pPr>
    </w:p>
    <w:p w:rsidR="00625B8D" w:rsidRPr="0028380A" w:rsidRDefault="00A3461D" w:rsidP="00C72C5A">
      <w:pPr>
        <w:pStyle w:val="NoSpacing"/>
        <w:spacing w:after="120"/>
        <w:jc w:val="both"/>
        <w:rPr>
          <w:lang w:val="en-GB"/>
        </w:rPr>
      </w:pPr>
      <w:r w:rsidRPr="0028380A">
        <w:rPr>
          <w:b/>
          <w:lang w:val="en-GB"/>
        </w:rPr>
        <w:t>Endorsed by the National PWG on</w:t>
      </w:r>
      <w:r w:rsidR="006B3011">
        <w:rPr>
          <w:b/>
          <w:lang w:val="en-GB"/>
        </w:rPr>
        <w:t xml:space="preserve"> </w:t>
      </w:r>
      <w:r w:rsidR="00C72C5A">
        <w:rPr>
          <w:b/>
          <w:lang w:val="en-GB"/>
        </w:rPr>
        <w:t>23</w:t>
      </w:r>
      <w:r w:rsidR="006B3011">
        <w:rPr>
          <w:b/>
          <w:lang w:val="en-GB"/>
        </w:rPr>
        <w:t xml:space="preserve"> April 2014</w:t>
      </w:r>
    </w:p>
    <w:p w:rsidR="00625B8D" w:rsidRPr="0028380A" w:rsidRDefault="00625B8D" w:rsidP="00625B8D">
      <w:pPr>
        <w:pStyle w:val="NoSpacing"/>
        <w:spacing w:after="120"/>
        <w:jc w:val="both"/>
        <w:rPr>
          <w:lang w:val="en-GB"/>
        </w:rPr>
      </w:pPr>
    </w:p>
    <w:p w:rsidR="0028380A" w:rsidRPr="0028380A" w:rsidRDefault="0028380A">
      <w:pPr>
        <w:pStyle w:val="NoSpacing"/>
        <w:spacing w:after="120"/>
        <w:jc w:val="both"/>
        <w:rPr>
          <w:lang w:val="en-GB"/>
        </w:rPr>
      </w:pPr>
    </w:p>
    <w:sectPr w:rsidR="0028380A" w:rsidRPr="0028380A" w:rsidSect="00DF2A4E">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72" w:rsidRDefault="00F24772" w:rsidP="00B07118">
      <w:pPr>
        <w:spacing w:after="0" w:line="240" w:lineRule="auto"/>
      </w:pPr>
      <w:r>
        <w:separator/>
      </w:r>
    </w:p>
  </w:endnote>
  <w:endnote w:type="continuationSeparator" w:id="0">
    <w:p w:rsidR="00F24772" w:rsidRDefault="00F24772" w:rsidP="00B0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5" w:rsidRDefault="00AB6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5" w:rsidRDefault="00AB6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5" w:rsidRDefault="00AB6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72" w:rsidRDefault="00F24772" w:rsidP="00B07118">
      <w:pPr>
        <w:spacing w:after="0" w:line="240" w:lineRule="auto"/>
      </w:pPr>
      <w:r>
        <w:separator/>
      </w:r>
    </w:p>
  </w:footnote>
  <w:footnote w:type="continuationSeparator" w:id="0">
    <w:p w:rsidR="00F24772" w:rsidRDefault="00F24772" w:rsidP="00B07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5" w:rsidRDefault="00AB6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5" w:rsidRDefault="00AB6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5" w:rsidRDefault="00AB6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A25"/>
    <w:multiLevelType w:val="multilevel"/>
    <w:tmpl w:val="02060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021F5"/>
    <w:multiLevelType w:val="hybridMultilevel"/>
    <w:tmpl w:val="E716E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337FAB"/>
    <w:multiLevelType w:val="hybridMultilevel"/>
    <w:tmpl w:val="47EA38F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A09AD"/>
    <w:multiLevelType w:val="hybridMultilevel"/>
    <w:tmpl w:val="C484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A46BC"/>
    <w:multiLevelType w:val="hybridMultilevel"/>
    <w:tmpl w:val="9B1AD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E13A5E"/>
    <w:multiLevelType w:val="hybridMultilevel"/>
    <w:tmpl w:val="E8269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F7F3E"/>
    <w:multiLevelType w:val="hybridMultilevel"/>
    <w:tmpl w:val="0A38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845D4F"/>
    <w:multiLevelType w:val="hybridMultilevel"/>
    <w:tmpl w:val="86EEE6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AD5DE1"/>
    <w:multiLevelType w:val="hybridMultilevel"/>
    <w:tmpl w:val="96A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7DFA"/>
    <w:multiLevelType w:val="hybridMultilevel"/>
    <w:tmpl w:val="57FC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6424D"/>
    <w:multiLevelType w:val="hybridMultilevel"/>
    <w:tmpl w:val="70002190"/>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nsid w:val="39D311C2"/>
    <w:multiLevelType w:val="hybridMultilevel"/>
    <w:tmpl w:val="E26E5316"/>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65E1C"/>
    <w:multiLevelType w:val="hybridMultilevel"/>
    <w:tmpl w:val="570E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5D176E"/>
    <w:multiLevelType w:val="hybridMultilevel"/>
    <w:tmpl w:val="1272D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77D84"/>
    <w:multiLevelType w:val="hybridMultilevel"/>
    <w:tmpl w:val="2B20AF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475667D"/>
    <w:multiLevelType w:val="hybridMultilevel"/>
    <w:tmpl w:val="212E6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9567FD"/>
    <w:multiLevelType w:val="hybridMultilevel"/>
    <w:tmpl w:val="35AED434"/>
    <w:lvl w:ilvl="0" w:tplc="EB1AF6A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52DCA"/>
    <w:multiLevelType w:val="hybridMultilevel"/>
    <w:tmpl w:val="762CD5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70362B4"/>
    <w:multiLevelType w:val="hybridMultilevel"/>
    <w:tmpl w:val="D90E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0215D3"/>
    <w:multiLevelType w:val="hybridMultilevel"/>
    <w:tmpl w:val="C7D6F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412776"/>
    <w:multiLevelType w:val="hybridMultilevel"/>
    <w:tmpl w:val="0242F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1C0C19"/>
    <w:multiLevelType w:val="hybridMultilevel"/>
    <w:tmpl w:val="8CDC7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933AB4"/>
    <w:multiLevelType w:val="hybridMultilevel"/>
    <w:tmpl w:val="9EF24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C64551"/>
    <w:multiLevelType w:val="hybridMultilevel"/>
    <w:tmpl w:val="05D8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0317EF"/>
    <w:multiLevelType w:val="hybridMultilevel"/>
    <w:tmpl w:val="386299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7"/>
  </w:num>
  <w:num w:numId="4">
    <w:abstractNumId w:val="8"/>
  </w:num>
  <w:num w:numId="5">
    <w:abstractNumId w:val="18"/>
  </w:num>
  <w:num w:numId="6">
    <w:abstractNumId w:val="15"/>
  </w:num>
  <w:num w:numId="7">
    <w:abstractNumId w:val="4"/>
  </w:num>
  <w:num w:numId="8">
    <w:abstractNumId w:val="14"/>
  </w:num>
  <w:num w:numId="9">
    <w:abstractNumId w:val="20"/>
  </w:num>
  <w:num w:numId="10">
    <w:abstractNumId w:val="5"/>
  </w:num>
  <w:num w:numId="11">
    <w:abstractNumId w:val="13"/>
  </w:num>
  <w:num w:numId="12">
    <w:abstractNumId w:val="21"/>
  </w:num>
  <w:num w:numId="13">
    <w:abstractNumId w:val="19"/>
  </w:num>
  <w:num w:numId="14">
    <w:abstractNumId w:val="12"/>
  </w:num>
  <w:num w:numId="15">
    <w:abstractNumId w:val="6"/>
  </w:num>
  <w:num w:numId="16">
    <w:abstractNumId w:val="11"/>
  </w:num>
  <w:num w:numId="17">
    <w:abstractNumId w:val="2"/>
  </w:num>
  <w:num w:numId="18">
    <w:abstractNumId w:val="9"/>
  </w:num>
  <w:num w:numId="19">
    <w:abstractNumId w:val="3"/>
  </w:num>
  <w:num w:numId="20">
    <w:abstractNumId w:val="0"/>
  </w:num>
  <w:num w:numId="21">
    <w:abstractNumId w:val="10"/>
  </w:num>
  <w:num w:numId="22">
    <w:abstractNumId w:val="17"/>
  </w:num>
  <w:num w:numId="23">
    <w:abstractNumId w:val="1"/>
  </w:num>
  <w:num w:numId="24">
    <w:abstractNumId w:val="2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744B"/>
    <w:rsid w:val="00043E8E"/>
    <w:rsid w:val="00067745"/>
    <w:rsid w:val="0007533B"/>
    <w:rsid w:val="000C590F"/>
    <w:rsid w:val="000F2398"/>
    <w:rsid w:val="000F4111"/>
    <w:rsid w:val="00105A8F"/>
    <w:rsid w:val="00114AB2"/>
    <w:rsid w:val="001474B3"/>
    <w:rsid w:val="00147C63"/>
    <w:rsid w:val="00156541"/>
    <w:rsid w:val="00172166"/>
    <w:rsid w:val="001819EB"/>
    <w:rsid w:val="0019744B"/>
    <w:rsid w:val="001C1495"/>
    <w:rsid w:val="001D4109"/>
    <w:rsid w:val="001F4743"/>
    <w:rsid w:val="001F4D4E"/>
    <w:rsid w:val="0021289D"/>
    <w:rsid w:val="00216923"/>
    <w:rsid w:val="002231E8"/>
    <w:rsid w:val="002463D4"/>
    <w:rsid w:val="00282044"/>
    <w:rsid w:val="0028380A"/>
    <w:rsid w:val="00285622"/>
    <w:rsid w:val="002911C4"/>
    <w:rsid w:val="002B20B1"/>
    <w:rsid w:val="002B2544"/>
    <w:rsid w:val="002D650D"/>
    <w:rsid w:val="002E0E0D"/>
    <w:rsid w:val="002E16C7"/>
    <w:rsid w:val="00302DD3"/>
    <w:rsid w:val="00370C27"/>
    <w:rsid w:val="003832FC"/>
    <w:rsid w:val="003A59D2"/>
    <w:rsid w:val="003F0C78"/>
    <w:rsid w:val="00430CB3"/>
    <w:rsid w:val="00453B22"/>
    <w:rsid w:val="00463E3E"/>
    <w:rsid w:val="00464D8C"/>
    <w:rsid w:val="00485405"/>
    <w:rsid w:val="00496674"/>
    <w:rsid w:val="004A1DBD"/>
    <w:rsid w:val="004B7268"/>
    <w:rsid w:val="004D1F4C"/>
    <w:rsid w:val="0050348D"/>
    <w:rsid w:val="0053270C"/>
    <w:rsid w:val="005359AF"/>
    <w:rsid w:val="00547C79"/>
    <w:rsid w:val="00563486"/>
    <w:rsid w:val="00577629"/>
    <w:rsid w:val="005814E2"/>
    <w:rsid w:val="005A6681"/>
    <w:rsid w:val="005D0E4C"/>
    <w:rsid w:val="005E1833"/>
    <w:rsid w:val="005F4D07"/>
    <w:rsid w:val="005F5CC0"/>
    <w:rsid w:val="00607590"/>
    <w:rsid w:val="00622961"/>
    <w:rsid w:val="00625B8D"/>
    <w:rsid w:val="00632324"/>
    <w:rsid w:val="006325F9"/>
    <w:rsid w:val="00633E8B"/>
    <w:rsid w:val="0065046A"/>
    <w:rsid w:val="00652E4B"/>
    <w:rsid w:val="00684DF9"/>
    <w:rsid w:val="006904ED"/>
    <w:rsid w:val="006A6F6E"/>
    <w:rsid w:val="006B2304"/>
    <w:rsid w:val="006B3011"/>
    <w:rsid w:val="006F0B7D"/>
    <w:rsid w:val="007070FB"/>
    <w:rsid w:val="00752F80"/>
    <w:rsid w:val="00772655"/>
    <w:rsid w:val="007943BB"/>
    <w:rsid w:val="007B45F3"/>
    <w:rsid w:val="007D685E"/>
    <w:rsid w:val="007E3DA3"/>
    <w:rsid w:val="00822619"/>
    <w:rsid w:val="00826AB6"/>
    <w:rsid w:val="00830051"/>
    <w:rsid w:val="008331A9"/>
    <w:rsid w:val="0085146A"/>
    <w:rsid w:val="008571F7"/>
    <w:rsid w:val="00892EA8"/>
    <w:rsid w:val="00897E98"/>
    <w:rsid w:val="008B614E"/>
    <w:rsid w:val="009106BB"/>
    <w:rsid w:val="0091144B"/>
    <w:rsid w:val="00930DD3"/>
    <w:rsid w:val="00935E3A"/>
    <w:rsid w:val="00945CE3"/>
    <w:rsid w:val="00991F32"/>
    <w:rsid w:val="009A2B38"/>
    <w:rsid w:val="009C28C0"/>
    <w:rsid w:val="009F40A1"/>
    <w:rsid w:val="00A3461D"/>
    <w:rsid w:val="00A571BD"/>
    <w:rsid w:val="00A65DF3"/>
    <w:rsid w:val="00A70F6B"/>
    <w:rsid w:val="00AB01DD"/>
    <w:rsid w:val="00AB6735"/>
    <w:rsid w:val="00AC1548"/>
    <w:rsid w:val="00AF4A4D"/>
    <w:rsid w:val="00B07118"/>
    <w:rsid w:val="00B14446"/>
    <w:rsid w:val="00B279BE"/>
    <w:rsid w:val="00B43031"/>
    <w:rsid w:val="00B65B8D"/>
    <w:rsid w:val="00B76903"/>
    <w:rsid w:val="00B9187F"/>
    <w:rsid w:val="00BA55AE"/>
    <w:rsid w:val="00BB2CFC"/>
    <w:rsid w:val="00C2210B"/>
    <w:rsid w:val="00C32E19"/>
    <w:rsid w:val="00C56FF5"/>
    <w:rsid w:val="00C6013F"/>
    <w:rsid w:val="00C623DF"/>
    <w:rsid w:val="00C72C5A"/>
    <w:rsid w:val="00C74C5D"/>
    <w:rsid w:val="00C81000"/>
    <w:rsid w:val="00C94626"/>
    <w:rsid w:val="00CA2084"/>
    <w:rsid w:val="00CB35AA"/>
    <w:rsid w:val="00CD5062"/>
    <w:rsid w:val="00CD5311"/>
    <w:rsid w:val="00CE032D"/>
    <w:rsid w:val="00CE7352"/>
    <w:rsid w:val="00CF7DB3"/>
    <w:rsid w:val="00D0516F"/>
    <w:rsid w:val="00D32782"/>
    <w:rsid w:val="00D348A4"/>
    <w:rsid w:val="00D4522E"/>
    <w:rsid w:val="00D66700"/>
    <w:rsid w:val="00D77186"/>
    <w:rsid w:val="00D80E58"/>
    <w:rsid w:val="00D96EAB"/>
    <w:rsid w:val="00DB3F18"/>
    <w:rsid w:val="00DC3BC7"/>
    <w:rsid w:val="00DF2A4E"/>
    <w:rsid w:val="00E15B52"/>
    <w:rsid w:val="00E16AFD"/>
    <w:rsid w:val="00E23504"/>
    <w:rsid w:val="00E24DD2"/>
    <w:rsid w:val="00E7188A"/>
    <w:rsid w:val="00E83FB0"/>
    <w:rsid w:val="00EA4EB9"/>
    <w:rsid w:val="00EA7411"/>
    <w:rsid w:val="00EF0FFD"/>
    <w:rsid w:val="00F066DD"/>
    <w:rsid w:val="00F07818"/>
    <w:rsid w:val="00F10288"/>
    <w:rsid w:val="00F125D9"/>
    <w:rsid w:val="00F24772"/>
    <w:rsid w:val="00F27294"/>
    <w:rsid w:val="00F459AA"/>
    <w:rsid w:val="00F72856"/>
    <w:rsid w:val="00F851D1"/>
    <w:rsid w:val="00F91512"/>
    <w:rsid w:val="00FC152F"/>
    <w:rsid w:val="00FD1467"/>
    <w:rsid w:val="00FE44E5"/>
    <w:rsid w:val="00FF1C3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8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188A"/>
    <w:rPr>
      <w:rFonts w:ascii="Tahoma" w:hAnsi="Tahoma" w:cs="Tahoma"/>
      <w:sz w:val="16"/>
      <w:szCs w:val="16"/>
      <w:lang w:val="en-US" w:eastAsia="en-US"/>
    </w:rPr>
  </w:style>
  <w:style w:type="character" w:styleId="Hyperlink">
    <w:name w:val="Hyperlink"/>
    <w:uiPriority w:val="99"/>
    <w:semiHidden/>
    <w:unhideWhenUsed/>
    <w:rsid w:val="00C81000"/>
    <w:rPr>
      <w:color w:val="0000FF"/>
      <w:u w:val="single"/>
    </w:rPr>
  </w:style>
  <w:style w:type="paragraph" w:styleId="Header">
    <w:name w:val="header"/>
    <w:basedOn w:val="Normal"/>
    <w:link w:val="HeaderChar"/>
    <w:uiPriority w:val="99"/>
    <w:unhideWhenUsed/>
    <w:rsid w:val="00B07118"/>
    <w:pPr>
      <w:tabs>
        <w:tab w:val="center" w:pos="4680"/>
        <w:tab w:val="right" w:pos="9360"/>
      </w:tabs>
    </w:pPr>
  </w:style>
  <w:style w:type="character" w:customStyle="1" w:styleId="HeaderChar">
    <w:name w:val="Header Char"/>
    <w:link w:val="Header"/>
    <w:uiPriority w:val="99"/>
    <w:rsid w:val="00B07118"/>
    <w:rPr>
      <w:sz w:val="22"/>
      <w:szCs w:val="22"/>
    </w:rPr>
  </w:style>
  <w:style w:type="paragraph" w:styleId="Footer">
    <w:name w:val="footer"/>
    <w:basedOn w:val="Normal"/>
    <w:link w:val="FooterChar"/>
    <w:uiPriority w:val="99"/>
    <w:unhideWhenUsed/>
    <w:rsid w:val="00B07118"/>
    <w:pPr>
      <w:tabs>
        <w:tab w:val="center" w:pos="4680"/>
        <w:tab w:val="right" w:pos="9360"/>
      </w:tabs>
    </w:pPr>
  </w:style>
  <w:style w:type="character" w:customStyle="1" w:styleId="FooterChar">
    <w:name w:val="Footer Char"/>
    <w:link w:val="Footer"/>
    <w:uiPriority w:val="99"/>
    <w:rsid w:val="00B07118"/>
    <w:rPr>
      <w:sz w:val="22"/>
      <w:szCs w:val="22"/>
    </w:rPr>
  </w:style>
  <w:style w:type="paragraph" w:styleId="NoSpacing">
    <w:name w:val="No Spacing"/>
    <w:uiPriority w:val="1"/>
    <w:qFormat/>
    <w:rsid w:val="00496674"/>
    <w:rPr>
      <w:sz w:val="22"/>
      <w:szCs w:val="22"/>
    </w:rPr>
  </w:style>
  <w:style w:type="paragraph" w:styleId="ListParagraph">
    <w:name w:val="List Paragraph"/>
    <w:basedOn w:val="Normal"/>
    <w:uiPriority w:val="34"/>
    <w:qFormat/>
    <w:rsid w:val="00C2210B"/>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C2210B"/>
    <w:rPr>
      <w:sz w:val="16"/>
      <w:szCs w:val="16"/>
    </w:rPr>
  </w:style>
  <w:style w:type="paragraph" w:styleId="CommentText">
    <w:name w:val="annotation text"/>
    <w:basedOn w:val="Normal"/>
    <w:link w:val="CommentTextChar"/>
    <w:uiPriority w:val="99"/>
    <w:unhideWhenUsed/>
    <w:rsid w:val="00C2210B"/>
    <w:rPr>
      <w:sz w:val="20"/>
      <w:szCs w:val="20"/>
    </w:rPr>
  </w:style>
  <w:style w:type="character" w:customStyle="1" w:styleId="CommentTextChar">
    <w:name w:val="Comment Text Char"/>
    <w:basedOn w:val="DefaultParagraphFont"/>
    <w:link w:val="CommentText"/>
    <w:uiPriority w:val="99"/>
    <w:rsid w:val="00C2210B"/>
  </w:style>
  <w:style w:type="paragraph" w:styleId="CommentSubject">
    <w:name w:val="annotation subject"/>
    <w:basedOn w:val="CommentText"/>
    <w:next w:val="CommentText"/>
    <w:link w:val="CommentSubjectChar"/>
    <w:uiPriority w:val="99"/>
    <w:semiHidden/>
    <w:unhideWhenUsed/>
    <w:rsid w:val="00C2210B"/>
    <w:rPr>
      <w:b/>
      <w:bCs/>
    </w:rPr>
  </w:style>
  <w:style w:type="character" w:customStyle="1" w:styleId="CommentSubjectChar">
    <w:name w:val="Comment Subject Char"/>
    <w:basedOn w:val="CommentTextChar"/>
    <w:link w:val="CommentSubject"/>
    <w:uiPriority w:val="99"/>
    <w:semiHidden/>
    <w:rsid w:val="00C2210B"/>
    <w:rPr>
      <w:b/>
      <w:bCs/>
    </w:rPr>
  </w:style>
  <w:style w:type="paragraph" w:styleId="FootnoteText">
    <w:name w:val="footnote text"/>
    <w:basedOn w:val="Normal"/>
    <w:link w:val="FootnoteTextChar"/>
    <w:uiPriority w:val="99"/>
    <w:semiHidden/>
    <w:unhideWhenUsed/>
    <w:rsid w:val="00285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622"/>
  </w:style>
  <w:style w:type="character" w:styleId="FootnoteReference">
    <w:name w:val="footnote reference"/>
    <w:basedOn w:val="DefaultParagraphFont"/>
    <w:uiPriority w:val="99"/>
    <w:semiHidden/>
    <w:unhideWhenUsed/>
    <w:rsid w:val="00285622"/>
    <w:rPr>
      <w:vertAlign w:val="superscript"/>
    </w:rPr>
  </w:style>
  <w:style w:type="paragraph" w:customStyle="1" w:styleId="ListParagraph1">
    <w:name w:val="List Paragraph1"/>
    <w:basedOn w:val="Normal"/>
    <w:rsid w:val="00370C27"/>
    <w:pPr>
      <w:spacing w:after="240" w:line="240" w:lineRule="auto"/>
      <w:ind w:left="720"/>
      <w:contextualSpacing/>
    </w:pPr>
    <w:rPr>
      <w:rFonts w:eastAsia="Times New Roman" w:cs="Times New Roman"/>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A655-11D2-45FF-BD06-B1CA9B7A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7804</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UNHCR</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UNHCRUser</dc:creator>
  <cp:lastModifiedBy>UNHCRuser</cp:lastModifiedBy>
  <cp:revision>2</cp:revision>
  <cp:lastPrinted>2014-01-27T15:29:00Z</cp:lastPrinted>
  <dcterms:created xsi:type="dcterms:W3CDTF">2016-01-22T08:52:00Z</dcterms:created>
  <dcterms:modified xsi:type="dcterms:W3CDTF">2016-01-22T08:52:00Z</dcterms:modified>
</cp:coreProperties>
</file>