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D3BFB" w14:textId="77777777" w:rsidR="00413A2B" w:rsidRPr="005A67D6" w:rsidRDefault="00413A2B" w:rsidP="00413A2B">
      <w:pPr>
        <w:spacing w:line="259" w:lineRule="auto"/>
        <w:jc w:val="center"/>
        <w:rPr>
          <w:rFonts w:asciiTheme="majorHAnsi" w:eastAsiaTheme="minorHAnsi" w:hAnsiTheme="majorHAnsi" w:cstheme="majorHAnsi"/>
          <w:b/>
          <w:color w:val="002060"/>
          <w:sz w:val="40"/>
          <w:szCs w:val="40"/>
        </w:rPr>
      </w:pPr>
      <w:r w:rsidRPr="005A67D6">
        <w:rPr>
          <w:rFonts w:asciiTheme="majorHAnsi" w:eastAsiaTheme="minorHAnsi" w:hAnsiTheme="majorHAnsi" w:cstheme="majorHAnsi"/>
          <w:b/>
          <w:color w:val="002060"/>
          <w:sz w:val="40"/>
          <w:szCs w:val="40"/>
        </w:rPr>
        <w:t>GUIDANCE NOTE 5</w:t>
      </w:r>
    </w:p>
    <w:p w14:paraId="2C72E56D" w14:textId="77777777" w:rsidR="00413A2B" w:rsidRPr="005A67D6" w:rsidRDefault="00413A2B" w:rsidP="00413A2B">
      <w:pPr>
        <w:jc w:val="center"/>
        <w:rPr>
          <w:rFonts w:asciiTheme="majorHAnsi" w:hAnsiTheme="majorHAnsi" w:cstheme="majorHAnsi"/>
          <w:b/>
          <w:color w:val="002060"/>
        </w:rPr>
      </w:pPr>
    </w:p>
    <w:p w14:paraId="4ED846E3" w14:textId="77777777" w:rsidR="00413A2B" w:rsidRPr="005A67D6" w:rsidRDefault="00413A2B" w:rsidP="00413A2B">
      <w:pPr>
        <w:shd w:val="clear" w:color="auto" w:fill="FFFFFF" w:themeFill="background1"/>
        <w:jc w:val="center"/>
        <w:rPr>
          <w:rFonts w:asciiTheme="majorHAnsi" w:hAnsiTheme="majorHAnsi" w:cstheme="majorHAnsi"/>
          <w:b/>
          <w:sz w:val="32"/>
          <w:szCs w:val="32"/>
        </w:rPr>
      </w:pPr>
      <w:r w:rsidRPr="005A67D6">
        <w:rPr>
          <w:rFonts w:asciiTheme="majorHAnsi" w:hAnsiTheme="majorHAnsi" w:cstheme="majorHAnsi"/>
          <w:b/>
          <w:color w:val="002060"/>
          <w:sz w:val="32"/>
          <w:szCs w:val="32"/>
        </w:rPr>
        <w:t>Gender Marker</w:t>
      </w:r>
    </w:p>
    <w:p w14:paraId="3302DD87" w14:textId="77777777" w:rsidR="00413A2B" w:rsidRDefault="00413A2B" w:rsidP="00413A2B">
      <w:pPr>
        <w:widowControl w:val="0"/>
        <w:autoSpaceDE w:val="0"/>
        <w:autoSpaceDN w:val="0"/>
        <w:adjustRightInd w:val="0"/>
        <w:jc w:val="both"/>
        <w:rPr>
          <w:rFonts w:asciiTheme="majorHAnsi" w:hAnsiTheme="majorHAnsi" w:cstheme="majorHAnsi"/>
          <w:color w:val="000000"/>
          <w:sz w:val="22"/>
          <w:szCs w:val="22"/>
        </w:rPr>
      </w:pPr>
    </w:p>
    <w:p w14:paraId="6915FD47" w14:textId="2A52D59B" w:rsidR="00327F2E" w:rsidRPr="00413A2B" w:rsidRDefault="00327F2E" w:rsidP="00413A2B">
      <w:pPr>
        <w:widowControl w:val="0"/>
        <w:autoSpaceDE w:val="0"/>
        <w:autoSpaceDN w:val="0"/>
        <w:adjustRightInd w:val="0"/>
        <w:jc w:val="both"/>
        <w:rPr>
          <w:rFonts w:asciiTheme="majorHAnsi" w:hAnsiTheme="majorHAnsi" w:cstheme="majorHAnsi"/>
          <w:color w:val="000000"/>
          <w:sz w:val="22"/>
          <w:szCs w:val="22"/>
        </w:rPr>
      </w:pPr>
      <w:r w:rsidRPr="00413A2B">
        <w:rPr>
          <w:rFonts w:asciiTheme="majorHAnsi" w:hAnsiTheme="majorHAnsi" w:cstheme="majorHAnsi"/>
          <w:color w:val="000000"/>
          <w:sz w:val="22"/>
          <w:szCs w:val="22"/>
        </w:rPr>
        <w:t xml:space="preserve">The </w:t>
      </w:r>
      <w:r w:rsidR="00FC37A8" w:rsidRPr="00413A2B">
        <w:rPr>
          <w:rFonts w:asciiTheme="majorHAnsi" w:hAnsiTheme="majorHAnsi" w:cstheme="majorHAnsi"/>
          <w:color w:val="000000"/>
          <w:sz w:val="22"/>
          <w:szCs w:val="22"/>
        </w:rPr>
        <w:t>IASC Gender M</w:t>
      </w:r>
      <w:r w:rsidRPr="00413A2B">
        <w:rPr>
          <w:rFonts w:asciiTheme="majorHAnsi" w:hAnsiTheme="majorHAnsi" w:cstheme="majorHAnsi"/>
          <w:color w:val="000000"/>
          <w:sz w:val="22"/>
          <w:szCs w:val="22"/>
        </w:rPr>
        <w:t xml:space="preserve">arker is a tool that </w:t>
      </w:r>
      <w:r w:rsidR="00710A33" w:rsidRPr="00413A2B">
        <w:rPr>
          <w:rFonts w:asciiTheme="majorHAnsi" w:hAnsiTheme="majorHAnsi" w:cstheme="majorHAnsi"/>
          <w:color w:val="000000"/>
          <w:sz w:val="22"/>
          <w:szCs w:val="22"/>
        </w:rPr>
        <w:t xml:space="preserve">is used to </w:t>
      </w:r>
      <w:r w:rsidRPr="00413A2B">
        <w:rPr>
          <w:rFonts w:asciiTheme="majorHAnsi" w:hAnsiTheme="majorHAnsi" w:cstheme="majorHAnsi"/>
          <w:color w:val="000000"/>
          <w:sz w:val="22"/>
          <w:szCs w:val="22"/>
        </w:rPr>
        <w:t xml:space="preserve">code humanitarian </w:t>
      </w:r>
      <w:r w:rsidR="00710A33" w:rsidRPr="00413A2B">
        <w:rPr>
          <w:rFonts w:asciiTheme="majorHAnsi" w:hAnsiTheme="majorHAnsi" w:cstheme="majorHAnsi"/>
          <w:color w:val="000000"/>
          <w:sz w:val="22"/>
          <w:szCs w:val="22"/>
        </w:rPr>
        <w:t>Sector Response Plans</w:t>
      </w:r>
      <w:r w:rsidRPr="00413A2B">
        <w:rPr>
          <w:rFonts w:asciiTheme="majorHAnsi" w:hAnsiTheme="majorHAnsi" w:cstheme="majorHAnsi"/>
          <w:color w:val="000000"/>
          <w:sz w:val="22"/>
          <w:szCs w:val="22"/>
        </w:rPr>
        <w:t xml:space="preserve"> </w:t>
      </w:r>
      <w:r w:rsidR="00710A33" w:rsidRPr="00413A2B">
        <w:rPr>
          <w:rFonts w:asciiTheme="majorHAnsi" w:hAnsiTheme="majorHAnsi" w:cstheme="majorHAnsi"/>
          <w:color w:val="000000"/>
          <w:sz w:val="22"/>
          <w:szCs w:val="22"/>
        </w:rPr>
        <w:t xml:space="preserve">(SRPs) </w:t>
      </w:r>
      <w:r w:rsidRPr="00413A2B">
        <w:rPr>
          <w:rFonts w:asciiTheme="majorHAnsi" w:hAnsiTheme="majorHAnsi" w:cstheme="majorHAnsi"/>
          <w:color w:val="000000"/>
          <w:sz w:val="22"/>
          <w:szCs w:val="22"/>
        </w:rPr>
        <w:t xml:space="preserve">on a 0‐2 scale based on </w:t>
      </w:r>
      <w:r w:rsidR="00710A33" w:rsidRPr="00413A2B">
        <w:rPr>
          <w:rFonts w:asciiTheme="majorHAnsi" w:hAnsiTheme="majorHAnsi" w:cstheme="majorHAnsi"/>
          <w:color w:val="000000"/>
          <w:sz w:val="22"/>
          <w:szCs w:val="22"/>
        </w:rPr>
        <w:t>programming</w:t>
      </w:r>
      <w:r w:rsidRPr="00413A2B">
        <w:rPr>
          <w:rFonts w:asciiTheme="majorHAnsi" w:hAnsiTheme="majorHAnsi" w:cstheme="majorHAnsi"/>
          <w:color w:val="000000"/>
          <w:sz w:val="22"/>
          <w:szCs w:val="22"/>
        </w:rPr>
        <w:t xml:space="preserve"> design. </w:t>
      </w:r>
      <w:r w:rsidR="000B6266" w:rsidRPr="00413A2B">
        <w:rPr>
          <w:rFonts w:asciiTheme="majorHAnsi" w:hAnsiTheme="majorHAnsi" w:cstheme="majorHAnsi"/>
          <w:color w:val="000000"/>
          <w:sz w:val="22"/>
          <w:szCs w:val="22"/>
        </w:rPr>
        <w:t xml:space="preserve">This will be applied to each of the country operation’s SRPs under the 3RP. </w:t>
      </w:r>
      <w:r w:rsidRPr="00413A2B">
        <w:rPr>
          <w:rFonts w:asciiTheme="majorHAnsi" w:hAnsiTheme="majorHAnsi" w:cstheme="majorHAnsi"/>
          <w:color w:val="000000"/>
          <w:sz w:val="22"/>
          <w:szCs w:val="22"/>
        </w:rPr>
        <w:t xml:space="preserve">A </w:t>
      </w:r>
      <w:r w:rsidR="00710A33" w:rsidRPr="00413A2B">
        <w:rPr>
          <w:rFonts w:asciiTheme="majorHAnsi" w:hAnsiTheme="majorHAnsi" w:cstheme="majorHAnsi"/>
          <w:color w:val="000000"/>
          <w:sz w:val="22"/>
          <w:szCs w:val="22"/>
        </w:rPr>
        <w:t>sector response</w:t>
      </w:r>
      <w:r w:rsidRPr="00413A2B">
        <w:rPr>
          <w:rFonts w:asciiTheme="majorHAnsi" w:hAnsiTheme="majorHAnsi" w:cstheme="majorHAnsi"/>
          <w:color w:val="000000"/>
          <w:sz w:val="22"/>
          <w:szCs w:val="22"/>
        </w:rPr>
        <w:t xml:space="preserve"> that is designed well and intentionally addresses the needs and </w:t>
      </w:r>
      <w:r w:rsidR="000B6266" w:rsidRPr="00413A2B">
        <w:rPr>
          <w:rFonts w:asciiTheme="majorHAnsi" w:hAnsiTheme="majorHAnsi" w:cstheme="majorHAnsi"/>
          <w:color w:val="000000"/>
          <w:sz w:val="22"/>
          <w:szCs w:val="22"/>
        </w:rPr>
        <w:t>capac</w:t>
      </w:r>
      <w:r w:rsidRPr="00413A2B">
        <w:rPr>
          <w:rFonts w:asciiTheme="majorHAnsi" w:hAnsiTheme="majorHAnsi" w:cstheme="majorHAnsi"/>
          <w:color w:val="000000"/>
          <w:sz w:val="22"/>
          <w:szCs w:val="22"/>
        </w:rPr>
        <w:t>it</w:t>
      </w:r>
      <w:r w:rsidR="00710A33" w:rsidRPr="00413A2B">
        <w:rPr>
          <w:rFonts w:asciiTheme="majorHAnsi" w:hAnsiTheme="majorHAnsi" w:cstheme="majorHAnsi"/>
          <w:color w:val="000000"/>
          <w:sz w:val="22"/>
          <w:szCs w:val="22"/>
        </w:rPr>
        <w:t xml:space="preserve">ies of women, girls, men and </w:t>
      </w:r>
      <w:r w:rsidR="00FC37A8" w:rsidRPr="00413A2B">
        <w:rPr>
          <w:rFonts w:asciiTheme="majorHAnsi" w:hAnsiTheme="majorHAnsi" w:cstheme="majorHAnsi"/>
          <w:color w:val="000000"/>
          <w:sz w:val="22"/>
          <w:szCs w:val="22"/>
        </w:rPr>
        <w:t>boys</w:t>
      </w:r>
      <w:r w:rsidR="000B6266" w:rsidRPr="00413A2B">
        <w:rPr>
          <w:rFonts w:asciiTheme="majorHAnsi" w:hAnsiTheme="majorHAnsi" w:cstheme="majorHAnsi"/>
          <w:color w:val="000000"/>
          <w:sz w:val="22"/>
          <w:szCs w:val="22"/>
        </w:rPr>
        <w:t xml:space="preserve">, be it a resilience development </w:t>
      </w:r>
      <w:r w:rsidR="00413A2B">
        <w:rPr>
          <w:rFonts w:asciiTheme="majorHAnsi" w:hAnsiTheme="majorHAnsi" w:cstheme="majorHAnsi"/>
          <w:color w:val="000000"/>
          <w:sz w:val="22"/>
          <w:szCs w:val="22"/>
        </w:rPr>
        <w:t>activity</w:t>
      </w:r>
      <w:r w:rsidR="000B6266" w:rsidRPr="00413A2B">
        <w:rPr>
          <w:rFonts w:asciiTheme="majorHAnsi" w:hAnsiTheme="majorHAnsi" w:cstheme="majorHAnsi"/>
          <w:color w:val="000000"/>
          <w:sz w:val="22"/>
          <w:szCs w:val="22"/>
        </w:rPr>
        <w:t xml:space="preserve"> or humanitarian </w:t>
      </w:r>
      <w:r w:rsidR="00413A2B">
        <w:rPr>
          <w:rFonts w:asciiTheme="majorHAnsi" w:hAnsiTheme="majorHAnsi" w:cstheme="majorHAnsi"/>
          <w:color w:val="000000"/>
          <w:sz w:val="22"/>
          <w:szCs w:val="22"/>
        </w:rPr>
        <w:t>activity</w:t>
      </w:r>
      <w:r w:rsidR="000B6266" w:rsidRPr="00413A2B">
        <w:rPr>
          <w:rFonts w:asciiTheme="majorHAnsi" w:hAnsiTheme="majorHAnsi" w:cstheme="majorHAnsi"/>
          <w:color w:val="000000"/>
          <w:sz w:val="22"/>
          <w:szCs w:val="22"/>
        </w:rPr>
        <w:t xml:space="preserve">, </w:t>
      </w:r>
      <w:r w:rsidRPr="00413A2B">
        <w:rPr>
          <w:rFonts w:asciiTheme="majorHAnsi" w:hAnsiTheme="majorHAnsi" w:cstheme="majorHAnsi"/>
          <w:color w:val="000000"/>
          <w:sz w:val="22"/>
          <w:szCs w:val="22"/>
        </w:rPr>
        <w:t xml:space="preserve">has the best chance of being implemented in a way that assists all of these groups to improve their lives. </w:t>
      </w:r>
    </w:p>
    <w:p w14:paraId="0BA26B22" w14:textId="77777777" w:rsidR="00FC37A8" w:rsidRPr="00413A2B" w:rsidRDefault="00FC37A8" w:rsidP="00413A2B">
      <w:pPr>
        <w:widowControl w:val="0"/>
        <w:autoSpaceDE w:val="0"/>
        <w:autoSpaceDN w:val="0"/>
        <w:adjustRightInd w:val="0"/>
        <w:jc w:val="both"/>
        <w:rPr>
          <w:rFonts w:asciiTheme="majorHAnsi" w:hAnsiTheme="majorHAnsi" w:cstheme="majorHAnsi"/>
          <w:color w:val="000000"/>
          <w:sz w:val="22"/>
          <w:szCs w:val="22"/>
        </w:rPr>
      </w:pPr>
    </w:p>
    <w:p w14:paraId="70F49EC3" w14:textId="1CBB43A6" w:rsidR="00327F2E" w:rsidRPr="00413A2B" w:rsidRDefault="00327F2E" w:rsidP="00413A2B">
      <w:pPr>
        <w:widowControl w:val="0"/>
        <w:autoSpaceDE w:val="0"/>
        <w:autoSpaceDN w:val="0"/>
        <w:adjustRightInd w:val="0"/>
        <w:jc w:val="both"/>
        <w:rPr>
          <w:rFonts w:asciiTheme="majorHAnsi" w:hAnsiTheme="majorHAnsi" w:cstheme="majorHAnsi"/>
          <w:color w:val="000000"/>
          <w:sz w:val="22"/>
          <w:szCs w:val="22"/>
        </w:rPr>
      </w:pPr>
      <w:r w:rsidRPr="00413A2B">
        <w:rPr>
          <w:rFonts w:asciiTheme="majorHAnsi" w:hAnsiTheme="majorHAnsi" w:cstheme="majorHAnsi"/>
          <w:color w:val="000000"/>
          <w:sz w:val="22"/>
          <w:szCs w:val="22"/>
        </w:rPr>
        <w:t xml:space="preserve">The codes tell whether or not a </w:t>
      </w:r>
      <w:r w:rsidR="00710A33" w:rsidRPr="00413A2B">
        <w:rPr>
          <w:rFonts w:asciiTheme="majorHAnsi" w:hAnsiTheme="majorHAnsi" w:cstheme="majorHAnsi"/>
          <w:color w:val="000000"/>
          <w:sz w:val="22"/>
          <w:szCs w:val="22"/>
        </w:rPr>
        <w:t>SRP</w:t>
      </w:r>
      <w:r w:rsidRPr="00413A2B">
        <w:rPr>
          <w:rFonts w:asciiTheme="majorHAnsi" w:hAnsiTheme="majorHAnsi" w:cstheme="majorHAnsi"/>
          <w:color w:val="000000"/>
          <w:sz w:val="22"/>
          <w:szCs w:val="22"/>
        </w:rPr>
        <w:t xml:space="preserve"> is designed w</w:t>
      </w:r>
      <w:r w:rsidR="00710A33" w:rsidRPr="00413A2B">
        <w:rPr>
          <w:rFonts w:asciiTheme="majorHAnsi" w:hAnsiTheme="majorHAnsi" w:cstheme="majorHAnsi"/>
          <w:color w:val="000000"/>
          <w:sz w:val="22"/>
          <w:szCs w:val="22"/>
        </w:rPr>
        <w:t xml:space="preserve">ell enough to ensure that women, girls, men and </w:t>
      </w:r>
      <w:r w:rsidRPr="00413A2B">
        <w:rPr>
          <w:rFonts w:asciiTheme="majorHAnsi" w:hAnsiTheme="majorHAnsi" w:cstheme="majorHAnsi"/>
          <w:color w:val="000000"/>
          <w:sz w:val="22"/>
          <w:szCs w:val="22"/>
        </w:rPr>
        <w:t>boys will benefit equally from it</w:t>
      </w:r>
      <w:r w:rsidR="00710A33" w:rsidRPr="00413A2B">
        <w:rPr>
          <w:rFonts w:asciiTheme="majorHAnsi" w:hAnsiTheme="majorHAnsi" w:cstheme="majorHAnsi"/>
          <w:color w:val="000000"/>
          <w:sz w:val="22"/>
          <w:szCs w:val="22"/>
        </w:rPr>
        <w:t xml:space="preserve">. </w:t>
      </w:r>
      <w:r w:rsidRPr="00413A2B">
        <w:rPr>
          <w:rFonts w:asciiTheme="majorHAnsi" w:hAnsiTheme="majorHAnsi" w:cstheme="majorHAnsi"/>
          <w:color w:val="000000"/>
          <w:sz w:val="22"/>
          <w:szCs w:val="22"/>
        </w:rPr>
        <w:t xml:space="preserve"> If the </w:t>
      </w:r>
      <w:r w:rsidR="00413A2B">
        <w:rPr>
          <w:rFonts w:asciiTheme="majorHAnsi" w:hAnsiTheme="majorHAnsi" w:cstheme="majorHAnsi"/>
          <w:color w:val="000000"/>
          <w:sz w:val="22"/>
          <w:szCs w:val="22"/>
        </w:rPr>
        <w:t>activity</w:t>
      </w:r>
      <w:r w:rsidRPr="00413A2B">
        <w:rPr>
          <w:rFonts w:asciiTheme="majorHAnsi" w:hAnsiTheme="majorHAnsi" w:cstheme="majorHAnsi"/>
          <w:color w:val="000000"/>
          <w:sz w:val="22"/>
          <w:szCs w:val="22"/>
        </w:rPr>
        <w:t xml:space="preserve"> has potential to generate gender equality results, the marker predicts whether the gender results are likely to be limited or significant. </w:t>
      </w:r>
    </w:p>
    <w:p w14:paraId="737B8D82" w14:textId="77777777" w:rsidR="00FC37A8" w:rsidRPr="00413A2B" w:rsidRDefault="00FC37A8" w:rsidP="00413A2B">
      <w:pPr>
        <w:widowControl w:val="0"/>
        <w:autoSpaceDE w:val="0"/>
        <w:autoSpaceDN w:val="0"/>
        <w:adjustRightInd w:val="0"/>
        <w:jc w:val="both"/>
        <w:rPr>
          <w:rFonts w:asciiTheme="majorHAnsi" w:hAnsiTheme="majorHAnsi" w:cstheme="majorHAnsi"/>
          <w:color w:val="000000"/>
          <w:sz w:val="22"/>
          <w:szCs w:val="22"/>
        </w:rPr>
      </w:pPr>
    </w:p>
    <w:p w14:paraId="65F09901" w14:textId="1ECE922D" w:rsidR="00327F2E" w:rsidRPr="00413A2B" w:rsidRDefault="00327F2E" w:rsidP="00413A2B">
      <w:pPr>
        <w:widowControl w:val="0"/>
        <w:autoSpaceDE w:val="0"/>
        <w:autoSpaceDN w:val="0"/>
        <w:adjustRightInd w:val="0"/>
        <w:jc w:val="both"/>
        <w:rPr>
          <w:rFonts w:asciiTheme="majorHAnsi" w:hAnsiTheme="majorHAnsi" w:cstheme="majorHAnsi"/>
          <w:color w:val="000000"/>
          <w:sz w:val="22"/>
          <w:szCs w:val="22"/>
        </w:rPr>
      </w:pPr>
      <w:r w:rsidRPr="00413A2B">
        <w:rPr>
          <w:rFonts w:asciiTheme="majorHAnsi" w:hAnsiTheme="majorHAnsi" w:cstheme="majorHAnsi"/>
          <w:color w:val="000000"/>
          <w:sz w:val="22"/>
          <w:szCs w:val="22"/>
        </w:rPr>
        <w:t xml:space="preserve">A gender code is assigned based on three critical components: 1) there is gender analysis in the needs assessment that provides relevant sex and age‐disaggregated data and gives insight into local gender issues 2) this needs assessment is used to identify </w:t>
      </w:r>
      <w:r w:rsidR="00710A33" w:rsidRPr="00413A2B">
        <w:rPr>
          <w:rFonts w:asciiTheme="majorHAnsi" w:hAnsiTheme="majorHAnsi" w:cstheme="majorHAnsi"/>
          <w:color w:val="000000"/>
          <w:sz w:val="22"/>
          <w:szCs w:val="22"/>
        </w:rPr>
        <w:t>sector respons</w:t>
      </w:r>
      <w:r w:rsidRPr="00413A2B">
        <w:rPr>
          <w:rFonts w:asciiTheme="majorHAnsi" w:hAnsiTheme="majorHAnsi" w:cstheme="majorHAnsi"/>
          <w:color w:val="000000"/>
          <w:sz w:val="22"/>
          <w:szCs w:val="22"/>
        </w:rPr>
        <w:t>es</w:t>
      </w:r>
      <w:r w:rsidR="00710A33" w:rsidRPr="00413A2B">
        <w:rPr>
          <w:rFonts w:asciiTheme="majorHAnsi" w:hAnsiTheme="majorHAnsi" w:cstheme="majorHAnsi"/>
          <w:color w:val="000000"/>
          <w:sz w:val="22"/>
          <w:szCs w:val="22"/>
        </w:rPr>
        <w:t xml:space="preserve"> and activities</w:t>
      </w:r>
      <w:r w:rsidRPr="00413A2B">
        <w:rPr>
          <w:rFonts w:asciiTheme="majorHAnsi" w:hAnsiTheme="majorHAnsi" w:cstheme="majorHAnsi"/>
          <w:color w:val="000000"/>
          <w:sz w:val="22"/>
          <w:szCs w:val="22"/>
        </w:rPr>
        <w:t xml:space="preserve"> and 3) gender‐related </w:t>
      </w:r>
      <w:r w:rsidR="00710A33" w:rsidRPr="00413A2B">
        <w:rPr>
          <w:rFonts w:asciiTheme="majorHAnsi" w:hAnsiTheme="majorHAnsi" w:cstheme="majorHAnsi"/>
          <w:color w:val="000000"/>
          <w:sz w:val="22"/>
          <w:szCs w:val="22"/>
        </w:rPr>
        <w:t>outputs</w:t>
      </w:r>
      <w:r w:rsidR="00FC37A8" w:rsidRPr="00413A2B">
        <w:rPr>
          <w:rFonts w:asciiTheme="majorHAnsi" w:hAnsiTheme="majorHAnsi" w:cstheme="majorHAnsi"/>
          <w:color w:val="000000"/>
          <w:sz w:val="22"/>
          <w:szCs w:val="22"/>
        </w:rPr>
        <w:t xml:space="preserve"> or performance indicators</w:t>
      </w:r>
      <w:r w:rsidRPr="00413A2B">
        <w:rPr>
          <w:rFonts w:asciiTheme="majorHAnsi" w:hAnsiTheme="majorHAnsi" w:cstheme="majorHAnsi"/>
          <w:color w:val="000000"/>
          <w:sz w:val="22"/>
          <w:szCs w:val="22"/>
        </w:rPr>
        <w:t>.</w:t>
      </w:r>
    </w:p>
    <w:p w14:paraId="5A2AA10A" w14:textId="77777777" w:rsidR="00327F2E" w:rsidRPr="00413A2B" w:rsidRDefault="00327F2E" w:rsidP="00413A2B">
      <w:pPr>
        <w:widowControl w:val="0"/>
        <w:autoSpaceDE w:val="0"/>
        <w:autoSpaceDN w:val="0"/>
        <w:adjustRightInd w:val="0"/>
        <w:jc w:val="both"/>
        <w:rPr>
          <w:rFonts w:asciiTheme="majorHAnsi" w:hAnsiTheme="majorHAnsi" w:cstheme="majorHAnsi"/>
          <w:color w:val="000000"/>
          <w:sz w:val="22"/>
          <w:szCs w:val="22"/>
        </w:rPr>
      </w:pPr>
    </w:p>
    <w:p w14:paraId="3070E921" w14:textId="77777777" w:rsidR="00327F2E" w:rsidRPr="00413A2B" w:rsidRDefault="00327F2E" w:rsidP="00413A2B">
      <w:pPr>
        <w:widowControl w:val="0"/>
        <w:autoSpaceDE w:val="0"/>
        <w:autoSpaceDN w:val="0"/>
        <w:adjustRightInd w:val="0"/>
        <w:jc w:val="both"/>
        <w:rPr>
          <w:rFonts w:asciiTheme="majorHAnsi" w:hAnsiTheme="majorHAnsi" w:cstheme="majorHAnsi"/>
          <w:b/>
          <w:i/>
          <w:color w:val="000000"/>
          <w:sz w:val="22"/>
          <w:szCs w:val="22"/>
        </w:rPr>
      </w:pPr>
      <w:r w:rsidRPr="00413A2B">
        <w:rPr>
          <w:rFonts w:asciiTheme="majorHAnsi" w:hAnsiTheme="majorHAnsi" w:cstheme="majorHAnsi"/>
          <w:b/>
          <w:i/>
          <w:color w:val="000000"/>
          <w:sz w:val="22"/>
          <w:szCs w:val="22"/>
        </w:rPr>
        <w:t>Gender Analysis of Needs Activities Outcomes</w:t>
      </w:r>
    </w:p>
    <w:p w14:paraId="76AC716C" w14:textId="77777777" w:rsidR="00327F2E" w:rsidRPr="00413A2B" w:rsidRDefault="00327F2E" w:rsidP="00413A2B">
      <w:pPr>
        <w:widowControl w:val="0"/>
        <w:autoSpaceDE w:val="0"/>
        <w:autoSpaceDN w:val="0"/>
        <w:adjustRightInd w:val="0"/>
        <w:jc w:val="both"/>
        <w:rPr>
          <w:rFonts w:asciiTheme="majorHAnsi" w:hAnsiTheme="majorHAnsi" w:cstheme="majorHAnsi"/>
          <w:color w:val="000000"/>
          <w:sz w:val="22"/>
          <w:szCs w:val="22"/>
        </w:rPr>
      </w:pPr>
    </w:p>
    <w:tbl>
      <w:tblPr>
        <w:tblW w:w="8292"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913"/>
        <w:gridCol w:w="6379"/>
      </w:tblGrid>
      <w:tr w:rsidR="00327F2E" w:rsidRPr="00413A2B" w14:paraId="68D5511A" w14:textId="77777777" w:rsidTr="00327F2E">
        <w:trPr>
          <w:trHeight w:val="125"/>
        </w:trPr>
        <w:tc>
          <w:tcPr>
            <w:tcW w:w="1913" w:type="dxa"/>
            <w:tcBorders>
              <w:top w:val="single" w:sz="8" w:space="0" w:color="000000"/>
              <w:bottom w:val="single" w:sz="8" w:space="0" w:color="000000"/>
              <w:right w:val="single" w:sz="8" w:space="0" w:color="000000"/>
            </w:tcBorders>
            <w:shd w:val="clear" w:color="auto" w:fill="0000FF"/>
          </w:tcPr>
          <w:p w14:paraId="508845A7"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b/>
                <w:bCs/>
                <w:sz w:val="22"/>
                <w:szCs w:val="22"/>
              </w:rPr>
              <w:t xml:space="preserve">Gender Marker </w:t>
            </w:r>
          </w:p>
        </w:tc>
        <w:tc>
          <w:tcPr>
            <w:tcW w:w="6379" w:type="dxa"/>
            <w:tcBorders>
              <w:top w:val="single" w:sz="8" w:space="0" w:color="000000"/>
              <w:left w:val="single" w:sz="8" w:space="0" w:color="000000"/>
              <w:bottom w:val="single" w:sz="8" w:space="0" w:color="000000"/>
            </w:tcBorders>
            <w:shd w:val="clear" w:color="auto" w:fill="0000FF"/>
          </w:tcPr>
          <w:p w14:paraId="16E4F69B"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b/>
                <w:bCs/>
                <w:sz w:val="22"/>
                <w:szCs w:val="22"/>
              </w:rPr>
              <w:t xml:space="preserve">Description </w:t>
            </w:r>
          </w:p>
        </w:tc>
      </w:tr>
      <w:tr w:rsidR="00327F2E" w:rsidRPr="00413A2B" w14:paraId="5261FCEC" w14:textId="77777777" w:rsidTr="00327F2E">
        <w:trPr>
          <w:trHeight w:val="260"/>
        </w:trPr>
        <w:tc>
          <w:tcPr>
            <w:tcW w:w="1913" w:type="dxa"/>
            <w:tcBorders>
              <w:top w:val="single" w:sz="8" w:space="0" w:color="000000"/>
              <w:bottom w:val="single" w:sz="8" w:space="0" w:color="000000"/>
              <w:right w:val="single" w:sz="8" w:space="0" w:color="000000"/>
            </w:tcBorders>
          </w:tcPr>
          <w:p w14:paraId="5A954682"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b/>
                <w:bCs/>
                <w:sz w:val="22"/>
                <w:szCs w:val="22"/>
              </w:rPr>
              <w:t xml:space="preserve">Gender Code 0 </w:t>
            </w:r>
          </w:p>
        </w:tc>
        <w:tc>
          <w:tcPr>
            <w:tcW w:w="6379" w:type="dxa"/>
            <w:tcBorders>
              <w:top w:val="single" w:sz="8" w:space="0" w:color="000000"/>
              <w:left w:val="single" w:sz="8" w:space="0" w:color="000000"/>
              <w:bottom w:val="single" w:sz="8" w:space="0" w:color="000000"/>
            </w:tcBorders>
          </w:tcPr>
          <w:p w14:paraId="2BBED0EE" w14:textId="576CB479"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Gender is </w:t>
            </w:r>
            <w:r w:rsidRPr="00413A2B">
              <w:rPr>
                <w:rFonts w:asciiTheme="majorHAnsi" w:hAnsiTheme="majorHAnsi" w:cstheme="majorHAnsi"/>
                <w:b/>
                <w:bCs/>
                <w:sz w:val="22"/>
                <w:szCs w:val="22"/>
              </w:rPr>
              <w:t xml:space="preserve">not reflected </w:t>
            </w:r>
            <w:r w:rsidRPr="00413A2B">
              <w:rPr>
                <w:rFonts w:asciiTheme="majorHAnsi" w:hAnsiTheme="majorHAnsi" w:cstheme="majorHAnsi"/>
                <w:sz w:val="22"/>
                <w:szCs w:val="22"/>
              </w:rPr>
              <w:t xml:space="preserve">in any component of the </w:t>
            </w:r>
            <w:r w:rsidR="00FC37A8" w:rsidRPr="00413A2B">
              <w:rPr>
                <w:rFonts w:asciiTheme="majorHAnsi" w:hAnsiTheme="majorHAnsi" w:cstheme="majorHAnsi"/>
                <w:sz w:val="22"/>
                <w:szCs w:val="22"/>
              </w:rPr>
              <w:t>Sector Response Plan</w:t>
            </w:r>
            <w:r w:rsidRPr="00413A2B">
              <w:rPr>
                <w:rFonts w:asciiTheme="majorHAnsi" w:hAnsiTheme="majorHAnsi" w:cstheme="majorHAnsi"/>
                <w:sz w:val="22"/>
                <w:szCs w:val="22"/>
              </w:rPr>
              <w:t xml:space="preserve">. There is risk that the </w:t>
            </w:r>
            <w:r w:rsidR="00413A2B">
              <w:rPr>
                <w:rFonts w:asciiTheme="majorHAnsi" w:hAnsiTheme="majorHAnsi" w:cstheme="majorHAnsi"/>
                <w:sz w:val="22"/>
                <w:szCs w:val="22"/>
              </w:rPr>
              <w:t>activity</w:t>
            </w:r>
            <w:r w:rsidRPr="00413A2B">
              <w:rPr>
                <w:rFonts w:asciiTheme="majorHAnsi" w:hAnsiTheme="majorHAnsi" w:cstheme="majorHAnsi"/>
                <w:sz w:val="22"/>
                <w:szCs w:val="22"/>
              </w:rPr>
              <w:t xml:space="preserve"> will unintentionally nurture existing gender inequalities or deepen them. </w:t>
            </w:r>
          </w:p>
        </w:tc>
      </w:tr>
      <w:tr w:rsidR="00327F2E" w:rsidRPr="00413A2B" w14:paraId="646909D7" w14:textId="77777777" w:rsidTr="00327F2E">
        <w:trPr>
          <w:trHeight w:val="394"/>
        </w:trPr>
        <w:tc>
          <w:tcPr>
            <w:tcW w:w="1913" w:type="dxa"/>
            <w:tcBorders>
              <w:top w:val="single" w:sz="8" w:space="0" w:color="000000"/>
              <w:bottom w:val="single" w:sz="8" w:space="0" w:color="000000"/>
              <w:right w:val="single" w:sz="8" w:space="0" w:color="000000"/>
            </w:tcBorders>
          </w:tcPr>
          <w:p w14:paraId="1430C7FF"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b/>
                <w:bCs/>
                <w:sz w:val="22"/>
                <w:szCs w:val="22"/>
              </w:rPr>
              <w:t xml:space="preserve">Gender Code 1 </w:t>
            </w:r>
          </w:p>
        </w:tc>
        <w:tc>
          <w:tcPr>
            <w:tcW w:w="6379" w:type="dxa"/>
            <w:tcBorders>
              <w:top w:val="single" w:sz="8" w:space="0" w:color="000000"/>
              <w:left w:val="single" w:sz="8" w:space="0" w:color="000000"/>
              <w:bottom w:val="single" w:sz="8" w:space="0" w:color="000000"/>
            </w:tcBorders>
          </w:tcPr>
          <w:p w14:paraId="2E754872" w14:textId="1709FA8F"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The </w:t>
            </w:r>
            <w:r w:rsidR="00FC37A8" w:rsidRPr="00413A2B">
              <w:rPr>
                <w:rFonts w:asciiTheme="majorHAnsi" w:hAnsiTheme="majorHAnsi" w:cstheme="majorHAnsi"/>
                <w:sz w:val="22"/>
                <w:szCs w:val="22"/>
              </w:rPr>
              <w:t>Sector Response Plan</w:t>
            </w:r>
            <w:r w:rsidRPr="00413A2B">
              <w:rPr>
                <w:rFonts w:asciiTheme="majorHAnsi" w:hAnsiTheme="majorHAnsi" w:cstheme="majorHAnsi"/>
                <w:sz w:val="22"/>
                <w:szCs w:val="22"/>
              </w:rPr>
              <w:t xml:space="preserve"> is designed to contribute in </w:t>
            </w:r>
            <w:r w:rsidRPr="00413A2B">
              <w:rPr>
                <w:rFonts w:asciiTheme="majorHAnsi" w:hAnsiTheme="majorHAnsi" w:cstheme="majorHAnsi"/>
                <w:b/>
                <w:bCs/>
                <w:sz w:val="22"/>
                <w:szCs w:val="22"/>
              </w:rPr>
              <w:t xml:space="preserve">some limited way </w:t>
            </w:r>
            <w:r w:rsidRPr="00413A2B">
              <w:rPr>
                <w:rFonts w:asciiTheme="majorHAnsi" w:hAnsiTheme="majorHAnsi" w:cstheme="majorHAnsi"/>
                <w:sz w:val="22"/>
                <w:szCs w:val="22"/>
              </w:rPr>
              <w:t xml:space="preserve">to gender equality. Gender dimensions are meaningfully included in only one or two of the three essential components: needs assessment, </w:t>
            </w:r>
            <w:r w:rsidR="00710A33" w:rsidRPr="00413A2B">
              <w:rPr>
                <w:rFonts w:asciiTheme="majorHAnsi" w:hAnsiTheme="majorHAnsi" w:cstheme="majorHAnsi"/>
                <w:sz w:val="22"/>
                <w:szCs w:val="22"/>
              </w:rPr>
              <w:t>sector responses</w:t>
            </w:r>
            <w:r w:rsidRPr="00413A2B">
              <w:rPr>
                <w:rFonts w:asciiTheme="majorHAnsi" w:hAnsiTheme="majorHAnsi" w:cstheme="majorHAnsi"/>
                <w:sz w:val="22"/>
                <w:szCs w:val="22"/>
              </w:rPr>
              <w:t xml:space="preserve"> and </w:t>
            </w:r>
            <w:r w:rsidR="00710A33" w:rsidRPr="00413A2B">
              <w:rPr>
                <w:rFonts w:asciiTheme="majorHAnsi" w:hAnsiTheme="majorHAnsi" w:cstheme="majorHAnsi"/>
                <w:sz w:val="22"/>
                <w:szCs w:val="22"/>
              </w:rPr>
              <w:t>performance indicators</w:t>
            </w:r>
            <w:r w:rsidRPr="00413A2B">
              <w:rPr>
                <w:rFonts w:asciiTheme="majorHAnsi" w:hAnsiTheme="majorHAnsi" w:cstheme="majorHAnsi"/>
                <w:sz w:val="22"/>
                <w:szCs w:val="22"/>
              </w:rPr>
              <w:t xml:space="preserve">. </w:t>
            </w:r>
          </w:p>
        </w:tc>
      </w:tr>
      <w:tr w:rsidR="00327F2E" w:rsidRPr="00413A2B" w14:paraId="2F676FEE" w14:textId="77777777" w:rsidTr="00327F2E">
        <w:trPr>
          <w:trHeight w:val="529"/>
        </w:trPr>
        <w:tc>
          <w:tcPr>
            <w:tcW w:w="1913" w:type="dxa"/>
            <w:tcBorders>
              <w:top w:val="single" w:sz="8" w:space="0" w:color="000000"/>
              <w:bottom w:val="single" w:sz="8" w:space="0" w:color="000000"/>
              <w:right w:val="single" w:sz="8" w:space="0" w:color="000000"/>
            </w:tcBorders>
          </w:tcPr>
          <w:p w14:paraId="2CAB6170"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b/>
                <w:bCs/>
                <w:sz w:val="22"/>
                <w:szCs w:val="22"/>
              </w:rPr>
              <w:t xml:space="preserve">Gender Code 2a </w:t>
            </w:r>
          </w:p>
          <w:p w14:paraId="45C5C17B"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Gender </w:t>
            </w:r>
          </w:p>
          <w:p w14:paraId="4E9C6393"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Mainstreaming </w:t>
            </w:r>
          </w:p>
        </w:tc>
        <w:tc>
          <w:tcPr>
            <w:tcW w:w="6379" w:type="dxa"/>
            <w:tcBorders>
              <w:top w:val="single" w:sz="8" w:space="0" w:color="000000"/>
              <w:left w:val="single" w:sz="8" w:space="0" w:color="000000"/>
              <w:bottom w:val="single" w:sz="8" w:space="0" w:color="000000"/>
            </w:tcBorders>
          </w:tcPr>
          <w:p w14:paraId="60A4DAB6" w14:textId="597729DA"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The </w:t>
            </w:r>
            <w:r w:rsidR="00FC37A8" w:rsidRPr="00413A2B">
              <w:rPr>
                <w:rFonts w:asciiTheme="majorHAnsi" w:hAnsiTheme="majorHAnsi" w:cstheme="majorHAnsi"/>
                <w:sz w:val="22"/>
                <w:szCs w:val="22"/>
              </w:rPr>
              <w:t>Sector Response Plan</w:t>
            </w:r>
            <w:r w:rsidRPr="00413A2B">
              <w:rPr>
                <w:rFonts w:asciiTheme="majorHAnsi" w:hAnsiTheme="majorHAnsi" w:cstheme="majorHAnsi"/>
                <w:sz w:val="22"/>
                <w:szCs w:val="22"/>
              </w:rPr>
              <w:t xml:space="preserve"> is designed to </w:t>
            </w:r>
            <w:r w:rsidRPr="00413A2B">
              <w:rPr>
                <w:rFonts w:asciiTheme="majorHAnsi" w:hAnsiTheme="majorHAnsi" w:cstheme="majorHAnsi"/>
                <w:b/>
                <w:bCs/>
                <w:sz w:val="22"/>
                <w:szCs w:val="22"/>
              </w:rPr>
              <w:t xml:space="preserve">contribute significantly </w:t>
            </w:r>
            <w:r w:rsidRPr="00413A2B">
              <w:rPr>
                <w:rFonts w:asciiTheme="majorHAnsi" w:hAnsiTheme="majorHAnsi" w:cstheme="majorHAnsi"/>
                <w:sz w:val="22"/>
                <w:szCs w:val="22"/>
              </w:rPr>
              <w:t xml:space="preserve">to gender equality. The different needs of </w:t>
            </w:r>
            <w:r w:rsidR="00710A33" w:rsidRPr="00413A2B">
              <w:rPr>
                <w:rFonts w:asciiTheme="majorHAnsi" w:hAnsiTheme="majorHAnsi" w:cstheme="majorHAnsi"/>
                <w:sz w:val="22"/>
                <w:szCs w:val="22"/>
              </w:rPr>
              <w:t xml:space="preserve">women, </w:t>
            </w:r>
            <w:r w:rsidRPr="00413A2B">
              <w:rPr>
                <w:rFonts w:asciiTheme="majorHAnsi" w:hAnsiTheme="majorHAnsi" w:cstheme="majorHAnsi"/>
                <w:sz w:val="22"/>
                <w:szCs w:val="22"/>
              </w:rPr>
              <w:t>girls</w:t>
            </w:r>
            <w:r w:rsidR="00710A33" w:rsidRPr="00413A2B">
              <w:rPr>
                <w:rFonts w:asciiTheme="majorHAnsi" w:hAnsiTheme="majorHAnsi" w:cstheme="majorHAnsi"/>
                <w:sz w:val="22"/>
                <w:szCs w:val="22"/>
              </w:rPr>
              <w:t>,</w:t>
            </w:r>
            <w:r w:rsidRPr="00413A2B">
              <w:rPr>
                <w:rFonts w:asciiTheme="majorHAnsi" w:hAnsiTheme="majorHAnsi" w:cstheme="majorHAnsi"/>
                <w:sz w:val="22"/>
                <w:szCs w:val="22"/>
              </w:rPr>
              <w:t xml:space="preserve"> </w:t>
            </w:r>
            <w:r w:rsidR="00710A33" w:rsidRPr="00413A2B">
              <w:rPr>
                <w:rFonts w:asciiTheme="majorHAnsi" w:hAnsiTheme="majorHAnsi" w:cstheme="majorHAnsi"/>
                <w:sz w:val="22"/>
                <w:szCs w:val="22"/>
              </w:rPr>
              <w:t xml:space="preserve">boys </w:t>
            </w:r>
            <w:r w:rsidRPr="00413A2B">
              <w:rPr>
                <w:rFonts w:asciiTheme="majorHAnsi" w:hAnsiTheme="majorHAnsi" w:cstheme="majorHAnsi"/>
                <w:sz w:val="22"/>
                <w:szCs w:val="22"/>
              </w:rPr>
              <w:t>and men have been analyzed and integrated well in all three essential components: the needs assessment</w:t>
            </w:r>
            <w:r w:rsidR="00FC37A8" w:rsidRPr="00413A2B">
              <w:rPr>
                <w:rFonts w:asciiTheme="majorHAnsi" w:hAnsiTheme="majorHAnsi" w:cstheme="majorHAnsi"/>
                <w:sz w:val="22"/>
                <w:szCs w:val="22"/>
              </w:rPr>
              <w:t>,</w:t>
            </w:r>
            <w:r w:rsidRPr="00413A2B">
              <w:rPr>
                <w:rFonts w:asciiTheme="majorHAnsi" w:hAnsiTheme="majorHAnsi" w:cstheme="majorHAnsi"/>
                <w:sz w:val="22"/>
                <w:szCs w:val="22"/>
              </w:rPr>
              <w:t xml:space="preserve"> </w:t>
            </w:r>
            <w:r w:rsidR="00710A33" w:rsidRPr="00413A2B">
              <w:rPr>
                <w:rFonts w:asciiTheme="majorHAnsi" w:hAnsiTheme="majorHAnsi" w:cstheme="majorHAnsi"/>
                <w:sz w:val="22"/>
                <w:szCs w:val="22"/>
              </w:rPr>
              <w:t>sector responses and performance indicators.</w:t>
            </w:r>
          </w:p>
        </w:tc>
      </w:tr>
      <w:tr w:rsidR="00327F2E" w:rsidRPr="00413A2B" w14:paraId="020CEA6C" w14:textId="77777777" w:rsidTr="00327F2E">
        <w:trPr>
          <w:trHeight w:val="797"/>
        </w:trPr>
        <w:tc>
          <w:tcPr>
            <w:tcW w:w="1913" w:type="dxa"/>
            <w:tcBorders>
              <w:top w:val="single" w:sz="8" w:space="0" w:color="000000"/>
              <w:bottom w:val="single" w:sz="8" w:space="0" w:color="000000"/>
              <w:right w:val="single" w:sz="8" w:space="0" w:color="000000"/>
            </w:tcBorders>
            <w:shd w:val="clear" w:color="auto" w:fill="FFFFFF"/>
          </w:tcPr>
          <w:p w14:paraId="2E3DC1F2"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b/>
                <w:bCs/>
                <w:sz w:val="22"/>
                <w:szCs w:val="22"/>
              </w:rPr>
              <w:t xml:space="preserve">Gender Code 2b </w:t>
            </w:r>
          </w:p>
          <w:p w14:paraId="12463B81"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Targeted Actions </w:t>
            </w:r>
          </w:p>
        </w:tc>
        <w:tc>
          <w:tcPr>
            <w:tcW w:w="6379" w:type="dxa"/>
            <w:tcBorders>
              <w:top w:val="single" w:sz="8" w:space="0" w:color="000000"/>
              <w:left w:val="single" w:sz="8" w:space="0" w:color="000000"/>
              <w:bottom w:val="single" w:sz="8" w:space="0" w:color="000000"/>
            </w:tcBorders>
          </w:tcPr>
          <w:p w14:paraId="2B658E7E" w14:textId="442BC771"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The </w:t>
            </w:r>
            <w:r w:rsidRPr="00413A2B">
              <w:rPr>
                <w:rFonts w:asciiTheme="majorHAnsi" w:hAnsiTheme="majorHAnsi" w:cstheme="majorHAnsi"/>
                <w:b/>
                <w:bCs/>
                <w:sz w:val="22"/>
                <w:szCs w:val="22"/>
              </w:rPr>
              <w:t xml:space="preserve">principal purpose </w:t>
            </w:r>
            <w:r w:rsidRPr="00413A2B">
              <w:rPr>
                <w:rFonts w:asciiTheme="majorHAnsi" w:hAnsiTheme="majorHAnsi" w:cstheme="majorHAnsi"/>
                <w:sz w:val="22"/>
                <w:szCs w:val="22"/>
              </w:rPr>
              <w:t xml:space="preserve">of the </w:t>
            </w:r>
            <w:r w:rsidR="00413A2B">
              <w:rPr>
                <w:rFonts w:asciiTheme="majorHAnsi" w:hAnsiTheme="majorHAnsi" w:cstheme="majorHAnsi"/>
                <w:sz w:val="22"/>
                <w:szCs w:val="22"/>
              </w:rPr>
              <w:t>activity</w:t>
            </w:r>
            <w:r w:rsidRPr="00413A2B">
              <w:rPr>
                <w:rFonts w:asciiTheme="majorHAnsi" w:hAnsiTheme="majorHAnsi" w:cstheme="majorHAnsi"/>
                <w:sz w:val="22"/>
                <w:szCs w:val="22"/>
              </w:rPr>
              <w:t xml:space="preserve"> is to advance gender equality. The entire </w:t>
            </w:r>
            <w:r w:rsidR="00413A2B">
              <w:rPr>
                <w:rFonts w:asciiTheme="majorHAnsi" w:hAnsiTheme="majorHAnsi" w:cstheme="majorHAnsi"/>
                <w:sz w:val="22"/>
                <w:szCs w:val="22"/>
              </w:rPr>
              <w:t>activity</w:t>
            </w:r>
            <w:r w:rsidRPr="00413A2B">
              <w:rPr>
                <w:rFonts w:asciiTheme="majorHAnsi" w:hAnsiTheme="majorHAnsi" w:cstheme="majorHAnsi"/>
                <w:sz w:val="22"/>
                <w:szCs w:val="22"/>
              </w:rPr>
              <w:t xml:space="preserve"> either: </w:t>
            </w:r>
          </w:p>
          <w:p w14:paraId="72184E50" w14:textId="147DDDC2"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a) Targets women</w:t>
            </w:r>
            <w:r w:rsidR="00710A33" w:rsidRPr="00413A2B">
              <w:rPr>
                <w:rFonts w:asciiTheme="majorHAnsi" w:hAnsiTheme="majorHAnsi" w:cstheme="majorHAnsi"/>
                <w:sz w:val="22"/>
                <w:szCs w:val="22"/>
              </w:rPr>
              <w:t>,</w:t>
            </w:r>
            <w:r w:rsidRPr="00413A2B">
              <w:rPr>
                <w:rFonts w:asciiTheme="majorHAnsi" w:hAnsiTheme="majorHAnsi" w:cstheme="majorHAnsi"/>
                <w:sz w:val="22"/>
                <w:szCs w:val="22"/>
              </w:rPr>
              <w:t xml:space="preserve"> girls</w:t>
            </w:r>
            <w:r w:rsidR="00710A33" w:rsidRPr="00413A2B">
              <w:rPr>
                <w:rFonts w:asciiTheme="majorHAnsi" w:hAnsiTheme="majorHAnsi" w:cstheme="majorHAnsi"/>
                <w:sz w:val="22"/>
                <w:szCs w:val="22"/>
              </w:rPr>
              <w:t>,</w:t>
            </w:r>
            <w:r w:rsidRPr="00413A2B">
              <w:rPr>
                <w:rFonts w:asciiTheme="majorHAnsi" w:hAnsiTheme="majorHAnsi" w:cstheme="majorHAnsi"/>
                <w:sz w:val="22"/>
                <w:szCs w:val="22"/>
              </w:rPr>
              <w:t xml:space="preserve"> boys</w:t>
            </w:r>
            <w:r w:rsidR="00710A33" w:rsidRPr="00413A2B">
              <w:rPr>
                <w:rFonts w:asciiTheme="majorHAnsi" w:hAnsiTheme="majorHAnsi" w:cstheme="majorHAnsi"/>
                <w:sz w:val="22"/>
                <w:szCs w:val="22"/>
              </w:rPr>
              <w:t xml:space="preserve"> and men</w:t>
            </w:r>
            <w:r w:rsidRPr="00413A2B">
              <w:rPr>
                <w:rFonts w:asciiTheme="majorHAnsi" w:hAnsiTheme="majorHAnsi" w:cstheme="majorHAnsi"/>
                <w:sz w:val="22"/>
                <w:szCs w:val="22"/>
              </w:rPr>
              <w:t xml:space="preserve"> who have special needs or suffer from discrimination </w:t>
            </w:r>
          </w:p>
          <w:p w14:paraId="29814B66"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b) Focuses all activities on building gender‐specific services or more equal relations between women and men. </w:t>
            </w:r>
          </w:p>
          <w:p w14:paraId="6036571A" w14:textId="77777777" w:rsidR="00FC37A8" w:rsidRPr="00413A2B" w:rsidRDefault="00FC37A8" w:rsidP="00413A2B">
            <w:pPr>
              <w:jc w:val="both"/>
              <w:rPr>
                <w:rFonts w:asciiTheme="majorHAnsi" w:hAnsiTheme="majorHAnsi" w:cstheme="majorHAnsi"/>
                <w:sz w:val="22"/>
                <w:szCs w:val="22"/>
              </w:rPr>
            </w:pPr>
          </w:p>
          <w:p w14:paraId="1FB8727D" w14:textId="77777777" w:rsidR="00FC37A8" w:rsidRPr="00413A2B" w:rsidRDefault="00FC37A8" w:rsidP="00413A2B">
            <w:pPr>
              <w:jc w:val="both"/>
              <w:rPr>
                <w:rFonts w:asciiTheme="majorHAnsi" w:hAnsiTheme="majorHAnsi" w:cstheme="majorHAnsi"/>
                <w:i/>
                <w:sz w:val="22"/>
                <w:szCs w:val="22"/>
              </w:rPr>
            </w:pPr>
            <w:r w:rsidRPr="00413A2B">
              <w:rPr>
                <w:rFonts w:asciiTheme="majorHAnsi" w:hAnsiTheme="majorHAnsi" w:cstheme="majorHAnsi"/>
                <w:i/>
                <w:sz w:val="22"/>
                <w:szCs w:val="22"/>
              </w:rPr>
              <w:t>It is unlikely that this code will apply to any Sector Response Plan since each sector aims to respond to the aims of women, girls, boys and men.</w:t>
            </w:r>
          </w:p>
        </w:tc>
      </w:tr>
    </w:tbl>
    <w:p w14:paraId="7AC43885" w14:textId="77777777" w:rsidR="00327F2E" w:rsidRPr="00327F2E" w:rsidRDefault="00327F2E" w:rsidP="00413A2B">
      <w:pPr>
        <w:jc w:val="both"/>
      </w:pPr>
    </w:p>
    <w:p w14:paraId="54B9367C" w14:textId="77777777" w:rsidR="00FC37A8" w:rsidRPr="00413A2B" w:rsidRDefault="00327F2E" w:rsidP="00413A2B">
      <w:pPr>
        <w:widowControl w:val="0"/>
        <w:autoSpaceDE w:val="0"/>
        <w:autoSpaceDN w:val="0"/>
        <w:adjustRightInd w:val="0"/>
        <w:jc w:val="both"/>
        <w:rPr>
          <w:rFonts w:asciiTheme="majorHAnsi" w:hAnsiTheme="majorHAnsi" w:cstheme="majorHAnsi"/>
          <w:color w:val="000000"/>
          <w:sz w:val="22"/>
          <w:szCs w:val="22"/>
        </w:rPr>
      </w:pPr>
      <w:r w:rsidRPr="00413A2B">
        <w:rPr>
          <w:rFonts w:asciiTheme="majorHAnsi" w:hAnsiTheme="majorHAnsi" w:cstheme="majorHAnsi"/>
          <w:color w:val="000000"/>
          <w:sz w:val="22"/>
          <w:szCs w:val="22"/>
        </w:rPr>
        <w:t xml:space="preserve">Each </w:t>
      </w:r>
      <w:r w:rsidR="00FC37A8" w:rsidRPr="00413A2B">
        <w:rPr>
          <w:rFonts w:asciiTheme="majorHAnsi" w:hAnsiTheme="majorHAnsi" w:cstheme="majorHAnsi"/>
          <w:color w:val="000000"/>
          <w:sz w:val="22"/>
          <w:szCs w:val="22"/>
        </w:rPr>
        <w:t>sector</w:t>
      </w:r>
      <w:r w:rsidRPr="00413A2B">
        <w:rPr>
          <w:rFonts w:asciiTheme="majorHAnsi" w:hAnsiTheme="majorHAnsi" w:cstheme="majorHAnsi"/>
          <w:color w:val="000000"/>
          <w:sz w:val="22"/>
          <w:szCs w:val="22"/>
        </w:rPr>
        <w:t xml:space="preserve"> is accountable for advancing gender equality in its respective </w:t>
      </w:r>
      <w:r w:rsidR="00FC37A8" w:rsidRPr="00413A2B">
        <w:rPr>
          <w:rFonts w:asciiTheme="majorHAnsi" w:hAnsiTheme="majorHAnsi" w:cstheme="majorHAnsi"/>
          <w:color w:val="000000"/>
          <w:sz w:val="22"/>
          <w:szCs w:val="22"/>
        </w:rPr>
        <w:t>area</w:t>
      </w:r>
      <w:r w:rsidRPr="00413A2B">
        <w:rPr>
          <w:rFonts w:asciiTheme="majorHAnsi" w:hAnsiTheme="majorHAnsi" w:cstheme="majorHAnsi"/>
          <w:color w:val="000000"/>
          <w:sz w:val="22"/>
          <w:szCs w:val="22"/>
        </w:rPr>
        <w:t xml:space="preserve">. </w:t>
      </w:r>
    </w:p>
    <w:p w14:paraId="3BB11A7E" w14:textId="77777777" w:rsidR="00710A33" w:rsidRPr="00413A2B" w:rsidRDefault="00710A33" w:rsidP="00413A2B">
      <w:pPr>
        <w:widowControl w:val="0"/>
        <w:autoSpaceDE w:val="0"/>
        <w:autoSpaceDN w:val="0"/>
        <w:adjustRightInd w:val="0"/>
        <w:jc w:val="both"/>
        <w:rPr>
          <w:rFonts w:asciiTheme="majorHAnsi" w:hAnsiTheme="majorHAnsi" w:cstheme="majorHAnsi"/>
          <w:color w:val="000000"/>
          <w:sz w:val="22"/>
          <w:szCs w:val="22"/>
        </w:rPr>
      </w:pPr>
    </w:p>
    <w:p w14:paraId="5AEEAB84" w14:textId="20DBAA6F"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b/>
          <w:bCs/>
          <w:sz w:val="22"/>
          <w:szCs w:val="22"/>
        </w:rPr>
        <w:lastRenderedPageBreak/>
        <w:t xml:space="preserve">Gender mainstreaming </w:t>
      </w:r>
      <w:r w:rsidRPr="00413A2B">
        <w:rPr>
          <w:rFonts w:asciiTheme="majorHAnsi" w:hAnsiTheme="majorHAnsi" w:cstheme="majorHAnsi"/>
          <w:sz w:val="22"/>
          <w:szCs w:val="22"/>
        </w:rPr>
        <w:t xml:space="preserve">means the distinct needs </w:t>
      </w:r>
      <w:r w:rsidR="000B6266" w:rsidRPr="00413A2B">
        <w:rPr>
          <w:rFonts w:asciiTheme="majorHAnsi" w:hAnsiTheme="majorHAnsi" w:cstheme="majorHAnsi"/>
          <w:sz w:val="22"/>
          <w:szCs w:val="22"/>
        </w:rPr>
        <w:t>capacities and contributions</w:t>
      </w:r>
      <w:r w:rsidRPr="00413A2B">
        <w:rPr>
          <w:rFonts w:asciiTheme="majorHAnsi" w:hAnsiTheme="majorHAnsi" w:cstheme="majorHAnsi"/>
          <w:sz w:val="22"/>
          <w:szCs w:val="22"/>
        </w:rPr>
        <w:t xml:space="preserve"> of women, girls, men and boys are integrated in a meaningful way in the three critical components of </w:t>
      </w:r>
      <w:r w:rsidR="00710A33" w:rsidRPr="00413A2B">
        <w:rPr>
          <w:rFonts w:asciiTheme="majorHAnsi" w:hAnsiTheme="majorHAnsi" w:cstheme="majorHAnsi"/>
          <w:sz w:val="22"/>
          <w:szCs w:val="22"/>
        </w:rPr>
        <w:t>the SRP</w:t>
      </w:r>
      <w:r w:rsidRPr="00413A2B">
        <w:rPr>
          <w:rFonts w:asciiTheme="majorHAnsi" w:hAnsiTheme="majorHAnsi" w:cstheme="majorHAnsi"/>
          <w:sz w:val="22"/>
          <w:szCs w:val="22"/>
        </w:rPr>
        <w:t xml:space="preserve">: the needs assessment, </w:t>
      </w:r>
      <w:r w:rsidR="00710A33" w:rsidRPr="00413A2B">
        <w:rPr>
          <w:rFonts w:asciiTheme="majorHAnsi" w:hAnsiTheme="majorHAnsi" w:cstheme="majorHAnsi"/>
          <w:sz w:val="22"/>
          <w:szCs w:val="22"/>
        </w:rPr>
        <w:t>sector responses and performance indicators</w:t>
      </w:r>
      <w:r w:rsidRPr="00413A2B">
        <w:rPr>
          <w:rFonts w:asciiTheme="majorHAnsi" w:hAnsiTheme="majorHAnsi" w:cstheme="majorHAnsi"/>
          <w:sz w:val="22"/>
          <w:szCs w:val="22"/>
        </w:rPr>
        <w:t xml:space="preserve">. Males and females are active participants in, and beneficiaries of, the </w:t>
      </w:r>
      <w:r w:rsidR="00413A2B">
        <w:rPr>
          <w:rFonts w:asciiTheme="majorHAnsi" w:hAnsiTheme="majorHAnsi" w:cstheme="majorHAnsi"/>
          <w:sz w:val="22"/>
          <w:szCs w:val="22"/>
        </w:rPr>
        <w:t>activity</w:t>
      </w:r>
      <w:r w:rsidRPr="00413A2B">
        <w:rPr>
          <w:rFonts w:asciiTheme="majorHAnsi" w:hAnsiTheme="majorHAnsi" w:cstheme="majorHAnsi"/>
          <w:sz w:val="22"/>
          <w:szCs w:val="22"/>
        </w:rPr>
        <w:t xml:space="preserve"> that meets their respective needs. These </w:t>
      </w:r>
      <w:r w:rsidR="00413A2B">
        <w:rPr>
          <w:rFonts w:asciiTheme="majorHAnsi" w:hAnsiTheme="majorHAnsi" w:cstheme="majorHAnsi"/>
          <w:sz w:val="22"/>
          <w:szCs w:val="22"/>
        </w:rPr>
        <w:t>activities</w:t>
      </w:r>
      <w:r w:rsidRPr="00413A2B">
        <w:rPr>
          <w:rFonts w:asciiTheme="majorHAnsi" w:hAnsiTheme="majorHAnsi" w:cstheme="majorHAnsi"/>
          <w:sz w:val="22"/>
          <w:szCs w:val="22"/>
        </w:rPr>
        <w:t xml:space="preserve"> code 2a. </w:t>
      </w:r>
      <w:r w:rsidR="00710A33" w:rsidRPr="00413A2B">
        <w:rPr>
          <w:rFonts w:asciiTheme="majorHAnsi" w:hAnsiTheme="majorHAnsi" w:cstheme="majorHAnsi"/>
          <w:sz w:val="22"/>
          <w:szCs w:val="22"/>
        </w:rPr>
        <w:t xml:space="preserve"> </w:t>
      </w:r>
      <w:r w:rsidRPr="00413A2B">
        <w:rPr>
          <w:rFonts w:asciiTheme="majorHAnsi" w:hAnsiTheme="majorHAnsi" w:cstheme="majorHAnsi"/>
          <w:sz w:val="22"/>
          <w:szCs w:val="22"/>
        </w:rPr>
        <w:t xml:space="preserve">Examples of gender mainstreamed </w:t>
      </w:r>
      <w:r w:rsidR="00413A2B">
        <w:rPr>
          <w:rFonts w:asciiTheme="majorHAnsi" w:hAnsiTheme="majorHAnsi" w:cstheme="majorHAnsi"/>
          <w:sz w:val="22"/>
          <w:szCs w:val="22"/>
        </w:rPr>
        <w:t>activities</w:t>
      </w:r>
      <w:r w:rsidRPr="00413A2B">
        <w:rPr>
          <w:rFonts w:asciiTheme="majorHAnsi" w:hAnsiTheme="majorHAnsi" w:cstheme="majorHAnsi"/>
          <w:sz w:val="22"/>
          <w:szCs w:val="22"/>
        </w:rPr>
        <w:t xml:space="preserve"> for each </w:t>
      </w:r>
      <w:r w:rsidR="00FC37A8" w:rsidRPr="00413A2B">
        <w:rPr>
          <w:rFonts w:asciiTheme="majorHAnsi" w:hAnsiTheme="majorHAnsi" w:cstheme="majorHAnsi"/>
          <w:sz w:val="22"/>
          <w:szCs w:val="22"/>
        </w:rPr>
        <w:t>sector</w:t>
      </w:r>
      <w:r w:rsidRPr="00413A2B">
        <w:rPr>
          <w:rFonts w:asciiTheme="majorHAnsi" w:hAnsiTheme="majorHAnsi" w:cstheme="majorHAnsi"/>
          <w:sz w:val="22"/>
          <w:szCs w:val="22"/>
        </w:rPr>
        <w:t xml:space="preserve"> appear in the </w:t>
      </w:r>
      <w:r w:rsidR="00FC37A8" w:rsidRPr="00413A2B">
        <w:rPr>
          <w:rFonts w:asciiTheme="majorHAnsi" w:hAnsiTheme="majorHAnsi" w:cstheme="majorHAnsi"/>
          <w:sz w:val="22"/>
          <w:szCs w:val="22"/>
        </w:rPr>
        <w:t>sector</w:t>
      </w:r>
      <w:r w:rsidRPr="00413A2B">
        <w:rPr>
          <w:rFonts w:asciiTheme="majorHAnsi" w:hAnsiTheme="majorHAnsi" w:cstheme="majorHAnsi"/>
          <w:sz w:val="22"/>
          <w:szCs w:val="22"/>
        </w:rPr>
        <w:t>‐specific</w:t>
      </w:r>
      <w:r w:rsidR="000B6266" w:rsidRPr="00413A2B">
        <w:rPr>
          <w:rFonts w:asciiTheme="majorHAnsi" w:hAnsiTheme="majorHAnsi" w:cstheme="majorHAnsi"/>
          <w:sz w:val="22"/>
          <w:szCs w:val="22"/>
        </w:rPr>
        <w:t xml:space="preserve"> Gender Marker</w:t>
      </w:r>
      <w:r w:rsidRPr="00413A2B">
        <w:rPr>
          <w:rFonts w:asciiTheme="majorHAnsi" w:hAnsiTheme="majorHAnsi" w:cstheme="majorHAnsi"/>
          <w:sz w:val="22"/>
          <w:szCs w:val="22"/>
        </w:rPr>
        <w:t xml:space="preserve"> tip sheets </w:t>
      </w:r>
      <w:r w:rsidR="000B6266" w:rsidRPr="00413A2B">
        <w:rPr>
          <w:rFonts w:asciiTheme="majorHAnsi" w:hAnsiTheme="majorHAnsi" w:cstheme="majorHAnsi"/>
          <w:sz w:val="22"/>
          <w:szCs w:val="22"/>
        </w:rPr>
        <w:t>posted on the web portal</w:t>
      </w:r>
      <w:r w:rsidRPr="00413A2B">
        <w:rPr>
          <w:rFonts w:asciiTheme="majorHAnsi" w:hAnsiTheme="majorHAnsi" w:cstheme="majorHAnsi"/>
          <w:sz w:val="22"/>
          <w:szCs w:val="22"/>
        </w:rPr>
        <w:t>.</w:t>
      </w:r>
    </w:p>
    <w:p w14:paraId="1136D387" w14:textId="77777777" w:rsidR="00327F2E" w:rsidRPr="00413A2B" w:rsidRDefault="00327F2E" w:rsidP="00413A2B">
      <w:pPr>
        <w:jc w:val="both"/>
        <w:rPr>
          <w:rFonts w:asciiTheme="majorHAnsi" w:hAnsiTheme="majorHAnsi" w:cstheme="majorHAnsi"/>
          <w:sz w:val="22"/>
          <w:szCs w:val="22"/>
        </w:rPr>
      </w:pPr>
    </w:p>
    <w:p w14:paraId="7F5D9D15" w14:textId="0888865C" w:rsidR="00327F2E" w:rsidRPr="00413A2B" w:rsidRDefault="00327F2E" w:rsidP="00413A2B">
      <w:pPr>
        <w:jc w:val="both"/>
        <w:rPr>
          <w:rFonts w:asciiTheme="majorHAnsi" w:hAnsiTheme="majorHAnsi" w:cstheme="majorHAnsi"/>
          <w:color w:val="000000"/>
          <w:sz w:val="22"/>
          <w:szCs w:val="22"/>
        </w:rPr>
      </w:pPr>
      <w:r w:rsidRPr="00413A2B">
        <w:rPr>
          <w:rFonts w:asciiTheme="majorHAnsi" w:hAnsiTheme="majorHAnsi" w:cstheme="majorHAnsi"/>
          <w:color w:val="000000"/>
          <w:sz w:val="22"/>
          <w:szCs w:val="22"/>
        </w:rPr>
        <w:t xml:space="preserve">A </w:t>
      </w:r>
      <w:r w:rsidR="00842333" w:rsidRPr="00413A2B">
        <w:rPr>
          <w:rFonts w:asciiTheme="majorHAnsi" w:hAnsiTheme="majorHAnsi" w:cstheme="majorHAnsi"/>
          <w:color w:val="000000"/>
          <w:sz w:val="22"/>
          <w:szCs w:val="22"/>
        </w:rPr>
        <w:t>Sector Response Plan</w:t>
      </w:r>
      <w:r w:rsidRPr="00413A2B">
        <w:rPr>
          <w:rFonts w:asciiTheme="majorHAnsi" w:hAnsiTheme="majorHAnsi" w:cstheme="majorHAnsi"/>
          <w:color w:val="000000"/>
          <w:sz w:val="22"/>
          <w:szCs w:val="22"/>
        </w:rPr>
        <w:t xml:space="preserve"> </w:t>
      </w:r>
      <w:r w:rsidR="00173A4B" w:rsidRPr="00413A2B">
        <w:rPr>
          <w:rFonts w:asciiTheme="majorHAnsi" w:hAnsiTheme="majorHAnsi" w:cstheme="majorHAnsi"/>
          <w:color w:val="000000"/>
          <w:sz w:val="22"/>
          <w:szCs w:val="22"/>
        </w:rPr>
        <w:t xml:space="preserve">(SRP) </w:t>
      </w:r>
      <w:r w:rsidRPr="00413A2B">
        <w:rPr>
          <w:rFonts w:asciiTheme="majorHAnsi" w:hAnsiTheme="majorHAnsi" w:cstheme="majorHAnsi"/>
          <w:color w:val="000000"/>
          <w:sz w:val="22"/>
          <w:szCs w:val="22"/>
        </w:rPr>
        <w:t xml:space="preserve">designed well enough to </w:t>
      </w:r>
      <w:r w:rsidR="00710A33" w:rsidRPr="00413A2B">
        <w:rPr>
          <w:rFonts w:asciiTheme="majorHAnsi" w:hAnsiTheme="majorHAnsi" w:cstheme="majorHAnsi"/>
          <w:color w:val="000000"/>
          <w:sz w:val="22"/>
          <w:szCs w:val="22"/>
        </w:rPr>
        <w:t>warrant</w:t>
      </w:r>
      <w:r w:rsidRPr="00413A2B">
        <w:rPr>
          <w:rFonts w:asciiTheme="majorHAnsi" w:hAnsiTheme="majorHAnsi" w:cstheme="majorHAnsi"/>
          <w:color w:val="000000"/>
          <w:sz w:val="22"/>
          <w:szCs w:val="22"/>
        </w:rPr>
        <w:t xml:space="preserve"> a good gender code (2a) must be based on gender analysis which is the engine for ensuring gender is addressed throughout the </w:t>
      </w:r>
      <w:r w:rsidR="00413A2B">
        <w:rPr>
          <w:rFonts w:asciiTheme="majorHAnsi" w:hAnsiTheme="majorHAnsi" w:cstheme="majorHAnsi"/>
          <w:color w:val="000000"/>
          <w:sz w:val="22"/>
          <w:szCs w:val="22"/>
        </w:rPr>
        <w:t>activity</w:t>
      </w:r>
      <w:r w:rsidRPr="00413A2B">
        <w:rPr>
          <w:rFonts w:asciiTheme="majorHAnsi" w:hAnsiTheme="majorHAnsi" w:cstheme="majorHAnsi"/>
          <w:color w:val="000000"/>
          <w:sz w:val="22"/>
          <w:szCs w:val="22"/>
        </w:rPr>
        <w:t xml:space="preserve"> (gender mainstreaming). This means exploring women’s as well as men’s needs and the different risks they face, the various roles and activities they undertake, their coping skills and ideas on solving problems. The most reliable information on the different realities facing males and females will come </w:t>
      </w:r>
      <w:r w:rsidR="00842333" w:rsidRPr="00413A2B">
        <w:rPr>
          <w:rFonts w:asciiTheme="majorHAnsi" w:hAnsiTheme="majorHAnsi" w:cstheme="majorHAnsi"/>
          <w:color w:val="000000"/>
          <w:sz w:val="22"/>
          <w:szCs w:val="22"/>
        </w:rPr>
        <w:t xml:space="preserve">from the women, girls, boys and </w:t>
      </w:r>
      <w:r w:rsidRPr="00413A2B">
        <w:rPr>
          <w:rFonts w:asciiTheme="majorHAnsi" w:hAnsiTheme="majorHAnsi" w:cstheme="majorHAnsi"/>
          <w:color w:val="000000"/>
          <w:sz w:val="22"/>
          <w:szCs w:val="22"/>
        </w:rPr>
        <w:t xml:space="preserve">men themselves in </w:t>
      </w:r>
      <w:r w:rsidR="000B6266" w:rsidRPr="00413A2B">
        <w:rPr>
          <w:rFonts w:asciiTheme="majorHAnsi" w:hAnsiTheme="majorHAnsi" w:cstheme="majorHAnsi"/>
          <w:color w:val="000000"/>
          <w:sz w:val="22"/>
          <w:szCs w:val="22"/>
        </w:rPr>
        <w:t>consultations segregated by sex and age (whether by focus groups or individual interviews) and</w:t>
      </w:r>
      <w:r w:rsidRPr="00413A2B">
        <w:rPr>
          <w:rFonts w:asciiTheme="majorHAnsi" w:hAnsiTheme="majorHAnsi" w:cstheme="majorHAnsi"/>
          <w:color w:val="000000"/>
          <w:sz w:val="22"/>
          <w:szCs w:val="22"/>
        </w:rPr>
        <w:t xml:space="preserve"> facilitated by a same‐sex facilitator. A well</w:t>
      </w:r>
      <w:r w:rsidR="00842333" w:rsidRPr="00413A2B">
        <w:rPr>
          <w:rFonts w:asciiTheme="majorHAnsi" w:hAnsiTheme="majorHAnsi" w:cstheme="majorHAnsi"/>
          <w:color w:val="000000"/>
          <w:sz w:val="22"/>
          <w:szCs w:val="22"/>
        </w:rPr>
        <w:t>-</w:t>
      </w:r>
      <w:r w:rsidRPr="00413A2B">
        <w:rPr>
          <w:rFonts w:asciiTheme="majorHAnsi" w:hAnsiTheme="majorHAnsi" w:cstheme="majorHAnsi"/>
          <w:color w:val="000000"/>
          <w:sz w:val="22"/>
          <w:szCs w:val="22"/>
        </w:rPr>
        <w:t xml:space="preserve">designed </w:t>
      </w:r>
      <w:r w:rsidR="00413A2B">
        <w:rPr>
          <w:rFonts w:asciiTheme="majorHAnsi" w:hAnsiTheme="majorHAnsi" w:cstheme="majorHAnsi"/>
          <w:color w:val="000000"/>
          <w:sz w:val="22"/>
          <w:szCs w:val="22"/>
        </w:rPr>
        <w:t>activity</w:t>
      </w:r>
      <w:r w:rsidRPr="00413A2B">
        <w:rPr>
          <w:rFonts w:asciiTheme="majorHAnsi" w:hAnsiTheme="majorHAnsi" w:cstheme="majorHAnsi"/>
          <w:color w:val="000000"/>
          <w:sz w:val="22"/>
          <w:szCs w:val="22"/>
        </w:rPr>
        <w:t xml:space="preserve"> will be grounded in </w:t>
      </w:r>
      <w:r w:rsidR="00413A2B">
        <w:rPr>
          <w:rFonts w:asciiTheme="majorHAnsi" w:hAnsiTheme="majorHAnsi" w:cstheme="majorHAnsi"/>
          <w:color w:val="000000"/>
          <w:sz w:val="22"/>
          <w:szCs w:val="22"/>
        </w:rPr>
        <w:t>activity</w:t>
      </w:r>
      <w:r w:rsidRPr="00413A2B">
        <w:rPr>
          <w:rFonts w:asciiTheme="majorHAnsi" w:hAnsiTheme="majorHAnsi" w:cstheme="majorHAnsi"/>
          <w:color w:val="000000"/>
          <w:sz w:val="22"/>
          <w:szCs w:val="22"/>
        </w:rPr>
        <w:t xml:space="preserve"> teams listening to the diversity of male and female voices, both young and old.</w:t>
      </w:r>
    </w:p>
    <w:p w14:paraId="456033ED" w14:textId="77777777" w:rsidR="00327F2E" w:rsidRPr="00413A2B" w:rsidRDefault="00327F2E" w:rsidP="00413A2B">
      <w:pPr>
        <w:jc w:val="both"/>
        <w:rPr>
          <w:rFonts w:asciiTheme="majorHAnsi" w:hAnsiTheme="majorHAnsi" w:cstheme="majorHAnsi"/>
          <w:color w:val="000000"/>
          <w:sz w:val="22"/>
          <w:szCs w:val="22"/>
        </w:rPr>
      </w:pPr>
    </w:p>
    <w:p w14:paraId="39BF4571" w14:textId="035EA2B9" w:rsidR="00327F2E" w:rsidRPr="00413A2B" w:rsidRDefault="00327F2E" w:rsidP="00413A2B">
      <w:pPr>
        <w:jc w:val="both"/>
        <w:rPr>
          <w:rFonts w:asciiTheme="majorHAnsi" w:hAnsiTheme="majorHAnsi" w:cstheme="majorHAnsi"/>
          <w:color w:val="000000"/>
          <w:sz w:val="22"/>
          <w:szCs w:val="22"/>
        </w:rPr>
      </w:pPr>
      <w:r w:rsidRPr="00413A2B">
        <w:rPr>
          <w:rFonts w:asciiTheme="majorHAnsi" w:hAnsiTheme="majorHAnsi" w:cstheme="majorHAnsi"/>
          <w:color w:val="000000"/>
          <w:sz w:val="22"/>
          <w:szCs w:val="22"/>
        </w:rPr>
        <w:t xml:space="preserve">Women, girls, boys and men have immediate </w:t>
      </w:r>
      <w:r w:rsidRPr="00413A2B">
        <w:rPr>
          <w:rFonts w:asciiTheme="majorHAnsi" w:hAnsiTheme="majorHAnsi" w:cstheme="majorHAnsi"/>
          <w:b/>
          <w:bCs/>
          <w:color w:val="000000"/>
          <w:sz w:val="22"/>
          <w:szCs w:val="22"/>
        </w:rPr>
        <w:t xml:space="preserve">“practical” </w:t>
      </w:r>
      <w:r w:rsidRPr="00413A2B">
        <w:rPr>
          <w:rFonts w:asciiTheme="majorHAnsi" w:hAnsiTheme="majorHAnsi" w:cstheme="majorHAnsi"/>
          <w:color w:val="000000"/>
          <w:sz w:val="22"/>
          <w:szCs w:val="22"/>
        </w:rPr>
        <w:t>survival needs particularly in humanitarian crises. Most practical needs arise from inadequate living conditions. They include access to safe water, food, adequate housing and personal safety.</w:t>
      </w:r>
      <w:r w:rsidR="00710A33" w:rsidRPr="00413A2B">
        <w:rPr>
          <w:rFonts w:asciiTheme="majorHAnsi" w:hAnsiTheme="majorHAnsi" w:cstheme="majorHAnsi"/>
          <w:color w:val="000000"/>
          <w:sz w:val="22"/>
          <w:szCs w:val="22"/>
        </w:rPr>
        <w:t xml:space="preserve"> </w:t>
      </w:r>
      <w:r w:rsidRPr="00413A2B">
        <w:rPr>
          <w:rFonts w:asciiTheme="majorHAnsi" w:hAnsiTheme="majorHAnsi" w:cstheme="majorHAnsi"/>
          <w:color w:val="000000"/>
          <w:sz w:val="22"/>
          <w:szCs w:val="22"/>
        </w:rPr>
        <w:t>W</w:t>
      </w:r>
      <w:r w:rsidR="00842333" w:rsidRPr="00413A2B">
        <w:rPr>
          <w:rFonts w:asciiTheme="majorHAnsi" w:hAnsiTheme="majorHAnsi" w:cstheme="majorHAnsi"/>
          <w:color w:val="000000"/>
          <w:sz w:val="22"/>
          <w:szCs w:val="22"/>
        </w:rPr>
        <w:t xml:space="preserve">omen, girls, boys and men also have </w:t>
      </w:r>
      <w:r w:rsidRPr="00413A2B">
        <w:rPr>
          <w:rFonts w:asciiTheme="majorHAnsi" w:hAnsiTheme="majorHAnsi" w:cstheme="majorHAnsi"/>
          <w:color w:val="000000"/>
          <w:sz w:val="22"/>
          <w:szCs w:val="22"/>
        </w:rPr>
        <w:t>l</w:t>
      </w:r>
      <w:r w:rsidR="00842333" w:rsidRPr="00413A2B">
        <w:rPr>
          <w:rFonts w:asciiTheme="majorHAnsi" w:hAnsiTheme="majorHAnsi" w:cstheme="majorHAnsi"/>
          <w:color w:val="000000"/>
          <w:sz w:val="22"/>
          <w:szCs w:val="22"/>
        </w:rPr>
        <w:t>onge</w:t>
      </w:r>
      <w:r w:rsidRPr="00413A2B">
        <w:rPr>
          <w:rFonts w:asciiTheme="majorHAnsi" w:hAnsiTheme="majorHAnsi" w:cstheme="majorHAnsi"/>
          <w:color w:val="000000"/>
          <w:sz w:val="22"/>
          <w:szCs w:val="22"/>
        </w:rPr>
        <w:t>r</w:t>
      </w:r>
      <w:r w:rsidR="00842333" w:rsidRPr="00413A2B">
        <w:rPr>
          <w:rFonts w:asciiTheme="majorHAnsi" w:hAnsiTheme="majorHAnsi" w:cstheme="majorHAnsi"/>
          <w:color w:val="000000"/>
          <w:sz w:val="22"/>
          <w:szCs w:val="22"/>
        </w:rPr>
        <w:t>-term</w:t>
      </w:r>
      <w:r w:rsidRPr="00413A2B">
        <w:rPr>
          <w:rFonts w:asciiTheme="majorHAnsi" w:hAnsiTheme="majorHAnsi" w:cstheme="majorHAnsi"/>
          <w:color w:val="000000"/>
          <w:sz w:val="22"/>
          <w:szCs w:val="22"/>
        </w:rPr>
        <w:t xml:space="preserve"> </w:t>
      </w:r>
      <w:r w:rsidR="00842333" w:rsidRPr="00413A2B">
        <w:rPr>
          <w:rFonts w:asciiTheme="majorHAnsi" w:hAnsiTheme="majorHAnsi" w:cstheme="majorHAnsi"/>
          <w:b/>
          <w:bCs/>
          <w:color w:val="000000"/>
          <w:sz w:val="22"/>
          <w:szCs w:val="22"/>
        </w:rPr>
        <w:t>“strategic</w:t>
      </w:r>
      <w:r w:rsidRPr="00413A2B">
        <w:rPr>
          <w:rFonts w:asciiTheme="majorHAnsi" w:hAnsiTheme="majorHAnsi" w:cstheme="majorHAnsi"/>
          <w:b/>
          <w:bCs/>
          <w:color w:val="000000"/>
          <w:sz w:val="22"/>
          <w:szCs w:val="22"/>
        </w:rPr>
        <w:t xml:space="preserve">” </w:t>
      </w:r>
      <w:r w:rsidR="00842333" w:rsidRPr="00413A2B">
        <w:rPr>
          <w:rFonts w:asciiTheme="majorHAnsi" w:hAnsiTheme="majorHAnsi" w:cstheme="majorHAnsi"/>
          <w:color w:val="000000"/>
          <w:sz w:val="22"/>
          <w:szCs w:val="22"/>
        </w:rPr>
        <w:t>needs and interests. These often focus on having choices, mobility and power to shape their own lives. Me</w:t>
      </w:r>
      <w:r w:rsidR="00DC3EC4" w:rsidRPr="00413A2B">
        <w:rPr>
          <w:rFonts w:asciiTheme="majorHAnsi" w:hAnsiTheme="majorHAnsi" w:cstheme="majorHAnsi"/>
          <w:color w:val="000000"/>
          <w:sz w:val="22"/>
          <w:szCs w:val="22"/>
        </w:rPr>
        <w:t>n</w:t>
      </w:r>
      <w:r w:rsidR="00842333" w:rsidRPr="00413A2B">
        <w:rPr>
          <w:rFonts w:asciiTheme="majorHAnsi" w:hAnsiTheme="majorHAnsi" w:cstheme="majorHAnsi"/>
          <w:color w:val="000000"/>
          <w:sz w:val="22"/>
          <w:szCs w:val="22"/>
        </w:rPr>
        <w:t xml:space="preserve"> and </w:t>
      </w:r>
      <w:r w:rsidRPr="00413A2B">
        <w:rPr>
          <w:rFonts w:asciiTheme="majorHAnsi" w:hAnsiTheme="majorHAnsi" w:cstheme="majorHAnsi"/>
          <w:color w:val="000000"/>
          <w:sz w:val="22"/>
          <w:szCs w:val="22"/>
        </w:rPr>
        <w:t>w</w:t>
      </w:r>
      <w:r w:rsidR="00842333" w:rsidRPr="00413A2B">
        <w:rPr>
          <w:rFonts w:asciiTheme="majorHAnsi" w:hAnsiTheme="majorHAnsi" w:cstheme="majorHAnsi"/>
          <w:color w:val="000000"/>
          <w:sz w:val="22"/>
          <w:szCs w:val="22"/>
        </w:rPr>
        <w:t>omen, girls and boys, share some, but not all, practical and strategic needs. It is especially important to understand and resp</w:t>
      </w:r>
      <w:r w:rsidRPr="00413A2B">
        <w:rPr>
          <w:rFonts w:asciiTheme="majorHAnsi" w:hAnsiTheme="majorHAnsi" w:cstheme="majorHAnsi"/>
          <w:color w:val="000000"/>
          <w:sz w:val="22"/>
          <w:szCs w:val="22"/>
        </w:rPr>
        <w:t>o</w:t>
      </w:r>
      <w:r w:rsidR="00842333" w:rsidRPr="00413A2B">
        <w:rPr>
          <w:rFonts w:asciiTheme="majorHAnsi" w:hAnsiTheme="majorHAnsi" w:cstheme="majorHAnsi"/>
          <w:color w:val="000000"/>
          <w:sz w:val="22"/>
          <w:szCs w:val="22"/>
        </w:rPr>
        <w:t>nd to their</w:t>
      </w:r>
      <w:r w:rsidRPr="00413A2B">
        <w:rPr>
          <w:rFonts w:asciiTheme="majorHAnsi" w:hAnsiTheme="majorHAnsi" w:cstheme="majorHAnsi"/>
          <w:color w:val="000000"/>
          <w:sz w:val="22"/>
          <w:szCs w:val="22"/>
        </w:rPr>
        <w:t xml:space="preserve"> </w:t>
      </w:r>
      <w:r w:rsidRPr="00413A2B">
        <w:rPr>
          <w:rFonts w:asciiTheme="majorHAnsi" w:hAnsiTheme="majorHAnsi" w:cstheme="majorHAnsi"/>
          <w:i/>
          <w:iCs/>
          <w:color w:val="000000"/>
          <w:sz w:val="22"/>
          <w:szCs w:val="22"/>
        </w:rPr>
        <w:t>different</w:t>
      </w:r>
      <w:r w:rsidR="00842333" w:rsidRPr="00413A2B">
        <w:rPr>
          <w:rFonts w:asciiTheme="majorHAnsi" w:hAnsiTheme="majorHAnsi" w:cstheme="majorHAnsi"/>
          <w:i/>
          <w:iCs/>
          <w:color w:val="000000"/>
          <w:sz w:val="22"/>
          <w:szCs w:val="22"/>
        </w:rPr>
        <w:t xml:space="preserve"> </w:t>
      </w:r>
      <w:r w:rsidR="00842333" w:rsidRPr="00413A2B">
        <w:rPr>
          <w:rFonts w:asciiTheme="majorHAnsi" w:hAnsiTheme="majorHAnsi" w:cstheme="majorHAnsi"/>
          <w:color w:val="000000"/>
          <w:sz w:val="22"/>
          <w:szCs w:val="22"/>
        </w:rPr>
        <w:t xml:space="preserve">needs that arise from the division of </w:t>
      </w:r>
      <w:proofErr w:type="spellStart"/>
      <w:r w:rsidR="00842333" w:rsidRPr="00413A2B">
        <w:rPr>
          <w:rFonts w:asciiTheme="majorHAnsi" w:hAnsiTheme="majorHAnsi" w:cstheme="majorHAnsi"/>
          <w:color w:val="000000"/>
          <w:sz w:val="22"/>
          <w:szCs w:val="22"/>
        </w:rPr>
        <w:t>labour</w:t>
      </w:r>
      <w:proofErr w:type="spellEnd"/>
      <w:r w:rsidR="00842333" w:rsidRPr="00413A2B">
        <w:rPr>
          <w:rFonts w:asciiTheme="majorHAnsi" w:hAnsiTheme="majorHAnsi" w:cstheme="majorHAnsi"/>
          <w:color w:val="000000"/>
          <w:sz w:val="22"/>
          <w:szCs w:val="22"/>
        </w:rPr>
        <w:t xml:space="preserve"> </w:t>
      </w:r>
      <w:r w:rsidR="000B6266" w:rsidRPr="00413A2B">
        <w:rPr>
          <w:rFonts w:asciiTheme="majorHAnsi" w:hAnsiTheme="majorHAnsi" w:cstheme="majorHAnsi"/>
          <w:color w:val="000000"/>
          <w:sz w:val="22"/>
          <w:szCs w:val="22"/>
        </w:rPr>
        <w:t xml:space="preserve">and responsibilities </w:t>
      </w:r>
      <w:r w:rsidR="00842333" w:rsidRPr="00413A2B">
        <w:rPr>
          <w:rFonts w:asciiTheme="majorHAnsi" w:hAnsiTheme="majorHAnsi" w:cstheme="majorHAnsi"/>
          <w:color w:val="000000"/>
          <w:sz w:val="22"/>
          <w:szCs w:val="22"/>
        </w:rPr>
        <w:t>between males and females as well</w:t>
      </w:r>
      <w:r w:rsidRPr="00413A2B">
        <w:rPr>
          <w:rFonts w:asciiTheme="majorHAnsi" w:hAnsiTheme="majorHAnsi" w:cstheme="majorHAnsi"/>
          <w:color w:val="000000"/>
          <w:sz w:val="22"/>
          <w:szCs w:val="22"/>
        </w:rPr>
        <w:t xml:space="preserve"> </w:t>
      </w:r>
      <w:r w:rsidR="00842333" w:rsidRPr="00413A2B">
        <w:rPr>
          <w:rFonts w:asciiTheme="majorHAnsi" w:hAnsiTheme="majorHAnsi" w:cstheme="majorHAnsi"/>
          <w:color w:val="000000"/>
          <w:sz w:val="22"/>
          <w:szCs w:val="22"/>
        </w:rPr>
        <w:t>as from women’s subordinate position in society.</w:t>
      </w:r>
      <w:r w:rsidRPr="00413A2B">
        <w:rPr>
          <w:rFonts w:asciiTheme="majorHAnsi" w:hAnsiTheme="majorHAnsi" w:cstheme="majorHAnsi"/>
          <w:color w:val="000000"/>
          <w:sz w:val="22"/>
          <w:szCs w:val="22"/>
        </w:rPr>
        <w:t xml:space="preserve"> </w:t>
      </w:r>
    </w:p>
    <w:p w14:paraId="79D7C2E2" w14:textId="77777777" w:rsidR="00327F2E" w:rsidRPr="00413A2B" w:rsidRDefault="00327F2E" w:rsidP="00413A2B">
      <w:pPr>
        <w:jc w:val="both"/>
        <w:rPr>
          <w:rFonts w:asciiTheme="majorHAnsi" w:hAnsiTheme="majorHAnsi" w:cstheme="majorHAnsi"/>
          <w:sz w:val="22"/>
          <w:szCs w:val="22"/>
        </w:rPr>
      </w:pPr>
    </w:p>
    <w:p w14:paraId="655C5933" w14:textId="1FB67646" w:rsidR="00327F2E" w:rsidRPr="00413A2B" w:rsidRDefault="00DC3EC4" w:rsidP="00413A2B">
      <w:pPr>
        <w:jc w:val="both"/>
        <w:rPr>
          <w:rFonts w:asciiTheme="majorHAnsi" w:hAnsiTheme="majorHAnsi" w:cstheme="majorHAnsi"/>
          <w:sz w:val="22"/>
          <w:szCs w:val="22"/>
        </w:rPr>
      </w:pPr>
      <w:r w:rsidRPr="00413A2B">
        <w:rPr>
          <w:rFonts w:asciiTheme="majorHAnsi" w:hAnsiTheme="majorHAnsi" w:cstheme="majorHAnsi"/>
          <w:sz w:val="22"/>
          <w:szCs w:val="22"/>
        </w:rPr>
        <w:t>B</w:t>
      </w:r>
      <w:r w:rsidR="00327F2E" w:rsidRPr="00413A2B">
        <w:rPr>
          <w:rFonts w:asciiTheme="majorHAnsi" w:hAnsiTheme="majorHAnsi" w:cstheme="majorHAnsi"/>
          <w:sz w:val="22"/>
          <w:szCs w:val="22"/>
        </w:rPr>
        <w:t xml:space="preserve">oth practical and strategic needs can, and wherever possible should be, addressed in gender mainstreamed </w:t>
      </w:r>
      <w:r w:rsidR="00413A2B">
        <w:rPr>
          <w:rFonts w:asciiTheme="majorHAnsi" w:hAnsiTheme="majorHAnsi" w:cstheme="majorHAnsi"/>
          <w:sz w:val="22"/>
          <w:szCs w:val="22"/>
        </w:rPr>
        <w:t>activitie</w:t>
      </w:r>
      <w:r w:rsidR="00327F2E" w:rsidRPr="00413A2B">
        <w:rPr>
          <w:rFonts w:asciiTheme="majorHAnsi" w:hAnsiTheme="majorHAnsi" w:cstheme="majorHAnsi"/>
          <w:sz w:val="22"/>
          <w:szCs w:val="22"/>
        </w:rPr>
        <w:t>s (code 2a).</w:t>
      </w:r>
    </w:p>
    <w:p w14:paraId="22D6F888" w14:textId="77777777" w:rsidR="00327F2E" w:rsidRPr="00413A2B" w:rsidRDefault="00327F2E" w:rsidP="00413A2B">
      <w:pPr>
        <w:jc w:val="both"/>
        <w:rPr>
          <w:rFonts w:asciiTheme="majorHAnsi" w:hAnsiTheme="majorHAnsi" w:cstheme="majorHAnsi"/>
          <w:sz w:val="22"/>
          <w:szCs w:val="22"/>
        </w:rPr>
      </w:pPr>
    </w:p>
    <w:p w14:paraId="2C094EAD" w14:textId="79F84D01"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The gender marker is a </w:t>
      </w:r>
      <w:r w:rsidR="00DC3EC4" w:rsidRPr="00413A2B">
        <w:rPr>
          <w:rFonts w:asciiTheme="majorHAnsi" w:hAnsiTheme="majorHAnsi" w:cstheme="majorHAnsi"/>
          <w:sz w:val="22"/>
          <w:szCs w:val="22"/>
        </w:rPr>
        <w:t>secto</w:t>
      </w:r>
      <w:r w:rsidRPr="00413A2B">
        <w:rPr>
          <w:rFonts w:asciiTheme="majorHAnsi" w:hAnsiTheme="majorHAnsi" w:cstheme="majorHAnsi"/>
          <w:sz w:val="22"/>
          <w:szCs w:val="22"/>
        </w:rPr>
        <w:t xml:space="preserve">r tool. </w:t>
      </w:r>
      <w:r w:rsidR="00173A4B" w:rsidRPr="00413A2B">
        <w:rPr>
          <w:rFonts w:asciiTheme="majorHAnsi" w:hAnsiTheme="majorHAnsi" w:cstheme="majorHAnsi"/>
          <w:sz w:val="22"/>
          <w:szCs w:val="22"/>
        </w:rPr>
        <w:t>The following</w:t>
      </w:r>
      <w:r w:rsidRPr="00413A2B">
        <w:rPr>
          <w:rFonts w:asciiTheme="majorHAnsi" w:hAnsiTheme="majorHAnsi" w:cstheme="majorHAnsi"/>
          <w:sz w:val="22"/>
          <w:szCs w:val="22"/>
        </w:rPr>
        <w:t xml:space="preserve"> steps</w:t>
      </w:r>
      <w:r w:rsidR="00173A4B" w:rsidRPr="00413A2B">
        <w:rPr>
          <w:rFonts w:asciiTheme="majorHAnsi" w:hAnsiTheme="majorHAnsi" w:cstheme="majorHAnsi"/>
          <w:sz w:val="22"/>
          <w:szCs w:val="22"/>
        </w:rPr>
        <w:t xml:space="preserve"> can improve the capacity of your sector to incorporate gender equality measures</w:t>
      </w:r>
      <w:r w:rsidRPr="00413A2B">
        <w:rPr>
          <w:rFonts w:asciiTheme="majorHAnsi" w:hAnsiTheme="majorHAnsi" w:cstheme="majorHAnsi"/>
          <w:sz w:val="22"/>
          <w:szCs w:val="22"/>
        </w:rPr>
        <w:t xml:space="preserve">: </w:t>
      </w:r>
    </w:p>
    <w:p w14:paraId="7C1C1172" w14:textId="77777777" w:rsidR="00DC3EC4" w:rsidRPr="00413A2B" w:rsidRDefault="00DC3EC4" w:rsidP="00413A2B">
      <w:pPr>
        <w:jc w:val="both"/>
        <w:rPr>
          <w:rFonts w:asciiTheme="majorHAnsi" w:hAnsiTheme="majorHAnsi" w:cstheme="majorHAnsi"/>
          <w:sz w:val="22"/>
          <w:szCs w:val="22"/>
        </w:rPr>
      </w:pPr>
    </w:p>
    <w:p w14:paraId="5BD63102" w14:textId="2B61F77F" w:rsidR="00DC3EC4" w:rsidRPr="00413A2B" w:rsidRDefault="00DC3EC4"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t>Sector</w:t>
      </w:r>
      <w:r w:rsidR="00327F2E" w:rsidRPr="00413A2B">
        <w:rPr>
          <w:rFonts w:asciiTheme="majorHAnsi" w:hAnsiTheme="majorHAnsi" w:cstheme="majorHAnsi"/>
          <w:sz w:val="22"/>
          <w:szCs w:val="22"/>
        </w:rPr>
        <w:t xml:space="preserve"> leads/coordinators ensure that gender equality is a priority in the </w:t>
      </w:r>
      <w:r w:rsidR="00173A4B" w:rsidRPr="00413A2B">
        <w:rPr>
          <w:rFonts w:asciiTheme="majorHAnsi" w:hAnsiTheme="majorHAnsi" w:cstheme="majorHAnsi"/>
          <w:sz w:val="22"/>
          <w:szCs w:val="22"/>
        </w:rPr>
        <w:t>SRP</w:t>
      </w:r>
      <w:r w:rsidR="00327F2E" w:rsidRPr="00413A2B">
        <w:rPr>
          <w:rFonts w:asciiTheme="majorHAnsi" w:hAnsiTheme="majorHAnsi" w:cstheme="majorHAnsi"/>
          <w:sz w:val="22"/>
          <w:szCs w:val="22"/>
        </w:rPr>
        <w:t xml:space="preserve"> and is visible in all plan elements. It is important to ensure gender issues are identified and addressed in </w:t>
      </w:r>
      <w:r w:rsidR="00173A4B" w:rsidRPr="00413A2B">
        <w:rPr>
          <w:rFonts w:asciiTheme="majorHAnsi" w:hAnsiTheme="majorHAnsi" w:cstheme="majorHAnsi"/>
          <w:sz w:val="22"/>
          <w:szCs w:val="22"/>
        </w:rPr>
        <w:t>the SRP</w:t>
      </w:r>
      <w:r w:rsidR="00327F2E" w:rsidRPr="00413A2B">
        <w:rPr>
          <w:rFonts w:asciiTheme="majorHAnsi" w:hAnsiTheme="majorHAnsi" w:cstheme="majorHAnsi"/>
          <w:sz w:val="22"/>
          <w:szCs w:val="22"/>
        </w:rPr>
        <w:t xml:space="preserve">. The </w:t>
      </w:r>
      <w:r w:rsidR="00173A4B" w:rsidRPr="00413A2B">
        <w:rPr>
          <w:rFonts w:asciiTheme="majorHAnsi" w:hAnsiTheme="majorHAnsi" w:cstheme="majorHAnsi"/>
          <w:sz w:val="22"/>
          <w:szCs w:val="22"/>
        </w:rPr>
        <w:t>SRP</w:t>
      </w:r>
      <w:r w:rsidR="00327F2E" w:rsidRPr="00413A2B">
        <w:rPr>
          <w:rFonts w:asciiTheme="majorHAnsi" w:hAnsiTheme="majorHAnsi" w:cstheme="majorHAnsi"/>
          <w:sz w:val="22"/>
          <w:szCs w:val="22"/>
        </w:rPr>
        <w:t xml:space="preserve"> provides a foundation for the design of </w:t>
      </w:r>
      <w:r w:rsidR="00413A2B">
        <w:rPr>
          <w:rFonts w:asciiTheme="majorHAnsi" w:hAnsiTheme="majorHAnsi" w:cstheme="majorHAnsi"/>
          <w:sz w:val="22"/>
          <w:szCs w:val="22"/>
        </w:rPr>
        <w:t>activities</w:t>
      </w:r>
      <w:r w:rsidR="00327F2E" w:rsidRPr="00413A2B">
        <w:rPr>
          <w:rFonts w:asciiTheme="majorHAnsi" w:hAnsiTheme="majorHAnsi" w:cstheme="majorHAnsi"/>
          <w:sz w:val="22"/>
          <w:szCs w:val="22"/>
        </w:rPr>
        <w:t xml:space="preserve"> and also demonstrates thorough integ</w:t>
      </w:r>
      <w:r w:rsidRPr="00413A2B">
        <w:rPr>
          <w:rFonts w:asciiTheme="majorHAnsi" w:hAnsiTheme="majorHAnsi" w:cstheme="majorHAnsi"/>
          <w:sz w:val="22"/>
          <w:szCs w:val="22"/>
        </w:rPr>
        <w:t xml:space="preserve">ration of gender issues. </w:t>
      </w:r>
      <w:r w:rsidR="00327F2E" w:rsidRPr="00413A2B">
        <w:rPr>
          <w:rFonts w:asciiTheme="majorHAnsi" w:hAnsiTheme="majorHAnsi" w:cstheme="majorHAnsi"/>
          <w:sz w:val="22"/>
          <w:szCs w:val="22"/>
        </w:rPr>
        <w:t xml:space="preserve"> </w:t>
      </w:r>
    </w:p>
    <w:p w14:paraId="4E945909" w14:textId="0D258673" w:rsidR="00327F2E" w:rsidRPr="00413A2B" w:rsidRDefault="00327F2E"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t xml:space="preserve">Build capacity of </w:t>
      </w:r>
      <w:r w:rsidR="00173A4B" w:rsidRPr="00413A2B">
        <w:rPr>
          <w:rFonts w:asciiTheme="majorHAnsi" w:hAnsiTheme="majorHAnsi" w:cstheme="majorHAnsi"/>
          <w:sz w:val="22"/>
          <w:szCs w:val="22"/>
        </w:rPr>
        <w:t>secto</w:t>
      </w:r>
      <w:r w:rsidRPr="00413A2B">
        <w:rPr>
          <w:rFonts w:asciiTheme="majorHAnsi" w:hAnsiTheme="majorHAnsi" w:cstheme="majorHAnsi"/>
          <w:sz w:val="22"/>
          <w:szCs w:val="22"/>
        </w:rPr>
        <w:t xml:space="preserve">r members and </w:t>
      </w:r>
      <w:r w:rsidR="00413A2B">
        <w:rPr>
          <w:rFonts w:asciiTheme="majorHAnsi" w:hAnsiTheme="majorHAnsi" w:cstheme="majorHAnsi"/>
          <w:sz w:val="22"/>
          <w:szCs w:val="22"/>
        </w:rPr>
        <w:t>activity</w:t>
      </w:r>
      <w:r w:rsidRPr="00413A2B">
        <w:rPr>
          <w:rFonts w:asciiTheme="majorHAnsi" w:hAnsiTheme="majorHAnsi" w:cstheme="majorHAnsi"/>
          <w:sz w:val="22"/>
          <w:szCs w:val="22"/>
        </w:rPr>
        <w:t xml:space="preserve"> partners to design gender‐responsive </w:t>
      </w:r>
      <w:r w:rsidR="00413A2B">
        <w:rPr>
          <w:rFonts w:asciiTheme="majorHAnsi" w:hAnsiTheme="majorHAnsi" w:cstheme="majorHAnsi"/>
          <w:sz w:val="22"/>
          <w:szCs w:val="22"/>
        </w:rPr>
        <w:t>activities</w:t>
      </w:r>
      <w:r w:rsidRPr="00413A2B">
        <w:rPr>
          <w:rFonts w:asciiTheme="majorHAnsi" w:hAnsiTheme="majorHAnsi" w:cstheme="majorHAnsi"/>
          <w:sz w:val="22"/>
          <w:szCs w:val="22"/>
        </w:rPr>
        <w:t xml:space="preserve"> </w:t>
      </w:r>
      <w:r w:rsidR="00173A4B" w:rsidRPr="00413A2B">
        <w:rPr>
          <w:rFonts w:asciiTheme="majorHAnsi" w:hAnsiTheme="majorHAnsi" w:cstheme="majorHAnsi"/>
          <w:sz w:val="22"/>
          <w:szCs w:val="22"/>
        </w:rPr>
        <w:t xml:space="preserve">that feed into the SRP through </w:t>
      </w:r>
      <w:r w:rsidRPr="00413A2B">
        <w:rPr>
          <w:rFonts w:asciiTheme="majorHAnsi" w:hAnsiTheme="majorHAnsi" w:cstheme="majorHAnsi"/>
          <w:sz w:val="22"/>
          <w:szCs w:val="22"/>
        </w:rPr>
        <w:t>using the Gender Marker. Use the sector‐specific tip sheets and the how‐to‐code tip sh</w:t>
      </w:r>
      <w:r w:rsidR="00DC3EC4" w:rsidRPr="00413A2B">
        <w:rPr>
          <w:rFonts w:asciiTheme="majorHAnsi" w:hAnsiTheme="majorHAnsi" w:cstheme="majorHAnsi"/>
          <w:sz w:val="22"/>
          <w:szCs w:val="22"/>
        </w:rPr>
        <w:t xml:space="preserve">eet so that partners can </w:t>
      </w:r>
      <w:proofErr w:type="spellStart"/>
      <w:r w:rsidR="00DC3EC4" w:rsidRPr="00413A2B">
        <w:rPr>
          <w:rFonts w:asciiTheme="majorHAnsi" w:hAnsiTheme="majorHAnsi" w:cstheme="majorHAnsi"/>
          <w:sz w:val="22"/>
          <w:szCs w:val="22"/>
        </w:rPr>
        <w:t>practis</w:t>
      </w:r>
      <w:r w:rsidRPr="00413A2B">
        <w:rPr>
          <w:rFonts w:asciiTheme="majorHAnsi" w:hAnsiTheme="majorHAnsi" w:cstheme="majorHAnsi"/>
          <w:sz w:val="22"/>
          <w:szCs w:val="22"/>
        </w:rPr>
        <w:t>e</w:t>
      </w:r>
      <w:proofErr w:type="spellEnd"/>
      <w:r w:rsidRPr="00413A2B">
        <w:rPr>
          <w:rFonts w:asciiTheme="majorHAnsi" w:hAnsiTheme="majorHAnsi" w:cstheme="majorHAnsi"/>
          <w:sz w:val="22"/>
          <w:szCs w:val="22"/>
        </w:rPr>
        <w:t xml:space="preserve"> coding their own </w:t>
      </w:r>
      <w:r w:rsidR="00413A2B">
        <w:rPr>
          <w:rFonts w:asciiTheme="majorHAnsi" w:hAnsiTheme="majorHAnsi" w:cstheme="majorHAnsi"/>
          <w:sz w:val="22"/>
          <w:szCs w:val="22"/>
        </w:rPr>
        <w:t>activitie</w:t>
      </w:r>
      <w:bookmarkStart w:id="0" w:name="_GoBack"/>
      <w:bookmarkEnd w:id="0"/>
      <w:r w:rsidRPr="00413A2B">
        <w:rPr>
          <w:rFonts w:asciiTheme="majorHAnsi" w:hAnsiTheme="majorHAnsi" w:cstheme="majorHAnsi"/>
          <w:sz w:val="22"/>
          <w:szCs w:val="22"/>
        </w:rPr>
        <w:t xml:space="preserve">s. Field experience already shows that this practice helps teams see how to strengthen the gender dimensions of their </w:t>
      </w:r>
      <w:r w:rsidR="00413A2B">
        <w:rPr>
          <w:rFonts w:asciiTheme="majorHAnsi" w:hAnsiTheme="majorHAnsi" w:cstheme="majorHAnsi"/>
          <w:sz w:val="22"/>
          <w:szCs w:val="22"/>
        </w:rPr>
        <w:t>activity</w:t>
      </w:r>
      <w:r w:rsidRPr="00413A2B">
        <w:rPr>
          <w:rFonts w:asciiTheme="majorHAnsi" w:hAnsiTheme="majorHAnsi" w:cstheme="majorHAnsi"/>
          <w:sz w:val="22"/>
          <w:szCs w:val="22"/>
        </w:rPr>
        <w:t xml:space="preserve"> design. </w:t>
      </w:r>
    </w:p>
    <w:p w14:paraId="2C288FFA" w14:textId="77777777" w:rsidR="00327F2E" w:rsidRPr="00413A2B" w:rsidRDefault="00327F2E"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t xml:space="preserve">Explore and facilitate links for </w:t>
      </w:r>
      <w:r w:rsidR="00DC3EC4" w:rsidRPr="00413A2B">
        <w:rPr>
          <w:rFonts w:asciiTheme="majorHAnsi" w:hAnsiTheme="majorHAnsi" w:cstheme="majorHAnsi"/>
          <w:sz w:val="22"/>
          <w:szCs w:val="22"/>
        </w:rPr>
        <w:t>secto</w:t>
      </w:r>
      <w:r w:rsidRPr="00413A2B">
        <w:rPr>
          <w:rFonts w:asciiTheme="majorHAnsi" w:hAnsiTheme="majorHAnsi" w:cstheme="majorHAnsi"/>
          <w:sz w:val="22"/>
          <w:szCs w:val="22"/>
        </w:rPr>
        <w:t xml:space="preserve">r partners with a gender specialist who is familiar with the gender marker and can answer questions. </w:t>
      </w:r>
    </w:p>
    <w:p w14:paraId="2B283E44" w14:textId="6653FA9E" w:rsidR="00DC3EC4" w:rsidRPr="00413A2B" w:rsidRDefault="00327F2E"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t xml:space="preserve">Train the </w:t>
      </w:r>
      <w:r w:rsidR="00DC3EC4" w:rsidRPr="00413A2B">
        <w:rPr>
          <w:rFonts w:asciiTheme="majorHAnsi" w:hAnsiTheme="majorHAnsi" w:cstheme="majorHAnsi"/>
          <w:sz w:val="22"/>
          <w:szCs w:val="22"/>
        </w:rPr>
        <w:t>Peer Review Panel</w:t>
      </w:r>
      <w:r w:rsidRPr="00413A2B">
        <w:rPr>
          <w:rFonts w:asciiTheme="majorHAnsi" w:hAnsiTheme="majorHAnsi" w:cstheme="majorHAnsi"/>
          <w:sz w:val="22"/>
          <w:szCs w:val="22"/>
        </w:rPr>
        <w:t xml:space="preserve"> on how to assign gender codes in advance. Coding must be quick, easy and accurate during the time‐pressed vetting process. Use the how‐to‐code tip sheet as a guide and </w:t>
      </w:r>
      <w:proofErr w:type="spellStart"/>
      <w:r w:rsidR="00173A4B" w:rsidRPr="00413A2B">
        <w:rPr>
          <w:rFonts w:asciiTheme="majorHAnsi" w:hAnsiTheme="majorHAnsi" w:cstheme="majorHAnsi"/>
          <w:sz w:val="22"/>
          <w:szCs w:val="22"/>
        </w:rPr>
        <w:t>practise</w:t>
      </w:r>
      <w:proofErr w:type="spellEnd"/>
      <w:r w:rsidRPr="00413A2B">
        <w:rPr>
          <w:rFonts w:asciiTheme="majorHAnsi" w:hAnsiTheme="majorHAnsi" w:cstheme="majorHAnsi"/>
          <w:sz w:val="22"/>
          <w:szCs w:val="22"/>
        </w:rPr>
        <w:t xml:space="preserve"> coding. </w:t>
      </w:r>
    </w:p>
    <w:p w14:paraId="41E98561" w14:textId="234383EC" w:rsidR="00DC3EC4" w:rsidRPr="00413A2B" w:rsidRDefault="00327F2E"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t xml:space="preserve">Provide the </w:t>
      </w:r>
      <w:r w:rsidR="00DC3EC4" w:rsidRPr="00413A2B">
        <w:rPr>
          <w:rFonts w:asciiTheme="majorHAnsi" w:hAnsiTheme="majorHAnsi" w:cstheme="majorHAnsi"/>
          <w:sz w:val="22"/>
          <w:szCs w:val="22"/>
        </w:rPr>
        <w:t>Review Panel</w:t>
      </w:r>
      <w:r w:rsidRPr="00413A2B">
        <w:rPr>
          <w:rFonts w:asciiTheme="majorHAnsi" w:hAnsiTheme="majorHAnsi" w:cstheme="majorHAnsi"/>
          <w:sz w:val="22"/>
          <w:szCs w:val="22"/>
        </w:rPr>
        <w:t xml:space="preserve"> </w:t>
      </w:r>
      <w:r w:rsidR="000B6266" w:rsidRPr="00413A2B">
        <w:rPr>
          <w:rFonts w:asciiTheme="majorHAnsi" w:hAnsiTheme="majorHAnsi" w:cstheme="majorHAnsi"/>
          <w:sz w:val="22"/>
          <w:szCs w:val="22"/>
        </w:rPr>
        <w:t>with contact details</w:t>
      </w:r>
      <w:r w:rsidRPr="00413A2B">
        <w:rPr>
          <w:rFonts w:asciiTheme="majorHAnsi" w:hAnsiTheme="majorHAnsi" w:cstheme="majorHAnsi"/>
          <w:sz w:val="22"/>
          <w:szCs w:val="22"/>
        </w:rPr>
        <w:t xml:space="preserve"> of the Gender Marker Focal Point who will be available to help resolve any coding confusion during the vetting. </w:t>
      </w:r>
    </w:p>
    <w:p w14:paraId="36AEA970" w14:textId="167B9269" w:rsidR="00DC3EC4" w:rsidRPr="00413A2B" w:rsidRDefault="00173A4B"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lastRenderedPageBreak/>
        <w:t xml:space="preserve">Advise the </w:t>
      </w:r>
      <w:r w:rsidR="00DC3EC4" w:rsidRPr="00413A2B">
        <w:rPr>
          <w:rFonts w:asciiTheme="majorHAnsi" w:hAnsiTheme="majorHAnsi" w:cstheme="majorHAnsi"/>
          <w:sz w:val="22"/>
          <w:szCs w:val="22"/>
        </w:rPr>
        <w:t xml:space="preserve">Sector </w:t>
      </w:r>
      <w:r w:rsidRPr="00413A2B">
        <w:rPr>
          <w:rFonts w:asciiTheme="majorHAnsi" w:hAnsiTheme="majorHAnsi" w:cstheme="majorHAnsi"/>
          <w:sz w:val="22"/>
          <w:szCs w:val="22"/>
        </w:rPr>
        <w:t>Chair</w:t>
      </w:r>
      <w:r w:rsidR="00DC3EC4" w:rsidRPr="00413A2B">
        <w:rPr>
          <w:rFonts w:asciiTheme="majorHAnsi" w:hAnsiTheme="majorHAnsi" w:cstheme="majorHAnsi"/>
          <w:sz w:val="22"/>
          <w:szCs w:val="22"/>
        </w:rPr>
        <w:t>s</w:t>
      </w:r>
      <w:r w:rsidR="00327F2E" w:rsidRPr="00413A2B">
        <w:rPr>
          <w:rFonts w:asciiTheme="majorHAnsi" w:hAnsiTheme="majorHAnsi" w:cstheme="majorHAnsi"/>
          <w:sz w:val="22"/>
          <w:szCs w:val="22"/>
        </w:rPr>
        <w:t xml:space="preserve"> on the </w:t>
      </w:r>
      <w:r w:rsidR="00B86FFE" w:rsidRPr="00413A2B">
        <w:rPr>
          <w:rFonts w:asciiTheme="majorHAnsi" w:hAnsiTheme="majorHAnsi" w:cstheme="majorHAnsi"/>
          <w:sz w:val="22"/>
          <w:szCs w:val="22"/>
        </w:rPr>
        <w:t xml:space="preserve">assigned </w:t>
      </w:r>
      <w:r w:rsidR="00327F2E" w:rsidRPr="00413A2B">
        <w:rPr>
          <w:rFonts w:asciiTheme="majorHAnsi" w:hAnsiTheme="majorHAnsi" w:cstheme="majorHAnsi"/>
          <w:sz w:val="22"/>
          <w:szCs w:val="22"/>
        </w:rPr>
        <w:t xml:space="preserve">gender code </w:t>
      </w:r>
      <w:r w:rsidR="00B86FFE" w:rsidRPr="00413A2B">
        <w:rPr>
          <w:rFonts w:asciiTheme="majorHAnsi" w:hAnsiTheme="majorHAnsi" w:cstheme="majorHAnsi"/>
          <w:sz w:val="22"/>
          <w:szCs w:val="22"/>
        </w:rPr>
        <w:t>for the SRP and provide suggestions on how to improve (if applicable)</w:t>
      </w:r>
      <w:r w:rsidR="00327F2E" w:rsidRPr="00413A2B">
        <w:rPr>
          <w:rFonts w:asciiTheme="majorHAnsi" w:hAnsiTheme="majorHAnsi" w:cstheme="majorHAnsi"/>
          <w:sz w:val="22"/>
          <w:szCs w:val="22"/>
        </w:rPr>
        <w:t xml:space="preserve">. </w:t>
      </w:r>
    </w:p>
    <w:p w14:paraId="65A7074D" w14:textId="7028AEF3" w:rsidR="00466685" w:rsidRPr="00413A2B" w:rsidRDefault="00466685"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t xml:space="preserve">A </w:t>
      </w:r>
      <w:proofErr w:type="spellStart"/>
      <w:r w:rsidRPr="00413A2B">
        <w:rPr>
          <w:rFonts w:asciiTheme="majorHAnsi" w:hAnsiTheme="majorHAnsi" w:cstheme="majorHAnsi"/>
          <w:sz w:val="22"/>
          <w:szCs w:val="22"/>
        </w:rPr>
        <w:t>GenCap</w:t>
      </w:r>
      <w:proofErr w:type="spellEnd"/>
      <w:r w:rsidRPr="00413A2B">
        <w:rPr>
          <w:rFonts w:asciiTheme="majorHAnsi" w:hAnsiTheme="majorHAnsi" w:cstheme="majorHAnsi"/>
          <w:sz w:val="22"/>
          <w:szCs w:val="22"/>
        </w:rPr>
        <w:t xml:space="preserve"> Advisor</w:t>
      </w:r>
      <w:r w:rsidR="000B6266" w:rsidRPr="00413A2B">
        <w:rPr>
          <w:rFonts w:asciiTheme="majorHAnsi" w:hAnsiTheme="majorHAnsi" w:cstheme="majorHAnsi"/>
          <w:sz w:val="22"/>
          <w:szCs w:val="22"/>
        </w:rPr>
        <w:t>, UNDP Gender Regional Advisor</w:t>
      </w:r>
      <w:r w:rsidRPr="00413A2B">
        <w:rPr>
          <w:rFonts w:asciiTheme="majorHAnsi" w:hAnsiTheme="majorHAnsi" w:cstheme="majorHAnsi"/>
          <w:sz w:val="22"/>
          <w:szCs w:val="22"/>
        </w:rPr>
        <w:t xml:space="preserve"> or Focal Point will review the </w:t>
      </w:r>
      <w:proofErr w:type="spellStart"/>
      <w:r w:rsidRPr="00413A2B">
        <w:rPr>
          <w:rFonts w:asciiTheme="majorHAnsi" w:hAnsiTheme="majorHAnsi" w:cstheme="majorHAnsi"/>
          <w:sz w:val="22"/>
          <w:szCs w:val="22"/>
        </w:rPr>
        <w:t>codings</w:t>
      </w:r>
      <w:proofErr w:type="spellEnd"/>
      <w:r w:rsidRPr="00413A2B">
        <w:rPr>
          <w:rFonts w:asciiTheme="majorHAnsi" w:hAnsiTheme="majorHAnsi" w:cstheme="majorHAnsi"/>
          <w:sz w:val="22"/>
          <w:szCs w:val="22"/>
        </w:rPr>
        <w:t xml:space="preserve"> for Sector Response Plans and provide feedback to the sector coordinators about to meaningfully incorporate gender equality measures.</w:t>
      </w:r>
    </w:p>
    <w:p w14:paraId="63CCA5A6" w14:textId="7E8716BA" w:rsidR="000B6266" w:rsidRPr="00413A2B" w:rsidRDefault="00466685" w:rsidP="00413A2B">
      <w:pPr>
        <w:pStyle w:val="ListParagraph"/>
        <w:numPr>
          <w:ilvl w:val="0"/>
          <w:numId w:val="7"/>
        </w:numPr>
        <w:jc w:val="both"/>
        <w:rPr>
          <w:rFonts w:asciiTheme="majorHAnsi" w:hAnsiTheme="majorHAnsi" w:cstheme="majorHAnsi"/>
          <w:sz w:val="22"/>
          <w:szCs w:val="22"/>
        </w:rPr>
      </w:pPr>
      <w:r w:rsidRPr="00413A2B">
        <w:rPr>
          <w:rFonts w:asciiTheme="majorHAnsi" w:hAnsiTheme="majorHAnsi" w:cstheme="majorHAnsi"/>
          <w:sz w:val="22"/>
          <w:szCs w:val="22"/>
        </w:rPr>
        <w:t>The Gender Marker codes will be recorded in the 3RP documents.</w:t>
      </w:r>
    </w:p>
    <w:p w14:paraId="7EE98E4C" w14:textId="1DAC8F4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 </w:t>
      </w:r>
    </w:p>
    <w:p w14:paraId="7D472C9B" w14:textId="77777777" w:rsidR="00B86FFE" w:rsidRPr="00413A2B" w:rsidRDefault="00173A4B"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The responsibility for accurate gender coding rests with the Peer Review Panel. The gender code will be inserted into a dedicated ‘Gender Marker’ field in the 3RP Template. </w:t>
      </w:r>
    </w:p>
    <w:p w14:paraId="12A803C2" w14:textId="77777777" w:rsidR="00B86FFE" w:rsidRPr="00413A2B" w:rsidRDefault="00B86FFE" w:rsidP="00413A2B">
      <w:pPr>
        <w:jc w:val="both"/>
        <w:rPr>
          <w:rFonts w:asciiTheme="majorHAnsi" w:hAnsiTheme="majorHAnsi" w:cstheme="majorHAnsi"/>
          <w:sz w:val="22"/>
          <w:szCs w:val="22"/>
        </w:rPr>
      </w:pPr>
    </w:p>
    <w:p w14:paraId="1BAD8488" w14:textId="64C98A7B" w:rsidR="00173A4B" w:rsidRPr="00413A2B" w:rsidRDefault="00173A4B" w:rsidP="00413A2B">
      <w:pPr>
        <w:jc w:val="both"/>
        <w:rPr>
          <w:rFonts w:asciiTheme="majorHAnsi" w:hAnsiTheme="majorHAnsi" w:cstheme="majorHAnsi"/>
          <w:sz w:val="22"/>
          <w:szCs w:val="22"/>
        </w:rPr>
      </w:pPr>
      <w:r w:rsidRPr="00413A2B">
        <w:rPr>
          <w:rFonts w:asciiTheme="majorHAnsi" w:hAnsiTheme="majorHAnsi" w:cstheme="majorHAnsi"/>
          <w:sz w:val="22"/>
          <w:szCs w:val="22"/>
        </w:rPr>
        <w:t>It is essential that the gender code be accurate.</w:t>
      </w:r>
      <w:r w:rsidR="00B86FFE" w:rsidRPr="00413A2B">
        <w:rPr>
          <w:rFonts w:asciiTheme="majorHAnsi" w:hAnsiTheme="majorHAnsi" w:cstheme="majorHAnsi"/>
          <w:sz w:val="22"/>
          <w:szCs w:val="22"/>
        </w:rPr>
        <w:t xml:space="preserve"> The Inter-Agency Task Force or equivalent Refugee Heads of Agency Meeting will ensure that each Peer Review Panel has verified the gender code for each Sector Response Plan. </w:t>
      </w:r>
      <w:r w:rsidRPr="00413A2B">
        <w:rPr>
          <w:rFonts w:asciiTheme="majorHAnsi" w:hAnsiTheme="majorHAnsi" w:cstheme="majorHAnsi"/>
          <w:sz w:val="22"/>
          <w:szCs w:val="22"/>
        </w:rPr>
        <w:t xml:space="preserve">The </w:t>
      </w:r>
      <w:proofErr w:type="spellStart"/>
      <w:r w:rsidRPr="00413A2B">
        <w:rPr>
          <w:rFonts w:asciiTheme="majorHAnsi" w:hAnsiTheme="majorHAnsi" w:cstheme="majorHAnsi"/>
          <w:sz w:val="22"/>
          <w:szCs w:val="22"/>
        </w:rPr>
        <w:t>GenCap</w:t>
      </w:r>
      <w:proofErr w:type="spellEnd"/>
      <w:r w:rsidRPr="00413A2B">
        <w:rPr>
          <w:rFonts w:asciiTheme="majorHAnsi" w:hAnsiTheme="majorHAnsi" w:cstheme="majorHAnsi"/>
          <w:sz w:val="22"/>
          <w:szCs w:val="22"/>
        </w:rPr>
        <w:t xml:space="preserve"> </w:t>
      </w:r>
      <w:r w:rsidR="00413A2B">
        <w:rPr>
          <w:rFonts w:asciiTheme="majorHAnsi" w:hAnsiTheme="majorHAnsi" w:cstheme="majorHAnsi"/>
          <w:sz w:val="22"/>
          <w:szCs w:val="22"/>
        </w:rPr>
        <w:t>Activity</w:t>
      </w:r>
      <w:r w:rsidRPr="00413A2B">
        <w:rPr>
          <w:rFonts w:asciiTheme="majorHAnsi" w:hAnsiTheme="majorHAnsi" w:cstheme="majorHAnsi"/>
          <w:sz w:val="22"/>
          <w:szCs w:val="22"/>
        </w:rPr>
        <w:t xml:space="preserve"> will verify coding and offer support where needed to consider how to incorporate gender equality measures into the SRPs. </w:t>
      </w:r>
    </w:p>
    <w:p w14:paraId="6AC228B9" w14:textId="77777777" w:rsidR="00173A4B" w:rsidRPr="00413A2B" w:rsidRDefault="00173A4B" w:rsidP="00413A2B">
      <w:pPr>
        <w:jc w:val="both"/>
        <w:rPr>
          <w:rFonts w:asciiTheme="majorHAnsi" w:hAnsiTheme="majorHAnsi" w:cstheme="majorHAnsi"/>
          <w:sz w:val="22"/>
          <w:szCs w:val="22"/>
        </w:rPr>
      </w:pPr>
    </w:p>
    <w:p w14:paraId="35A140D0" w14:textId="0EF1E1A6" w:rsidR="00173A4B" w:rsidRPr="00413A2B" w:rsidRDefault="004A24A2" w:rsidP="00413A2B">
      <w:pPr>
        <w:jc w:val="both"/>
        <w:rPr>
          <w:rFonts w:asciiTheme="majorHAnsi" w:hAnsiTheme="majorHAnsi" w:cstheme="majorHAnsi"/>
          <w:sz w:val="22"/>
          <w:szCs w:val="22"/>
        </w:rPr>
      </w:pPr>
      <w:r w:rsidRPr="00413A2B">
        <w:rPr>
          <w:rFonts w:asciiTheme="majorHAnsi" w:hAnsiTheme="majorHAnsi" w:cstheme="majorHAnsi"/>
          <w:sz w:val="22"/>
          <w:szCs w:val="22"/>
        </w:rPr>
        <w:t>Country operations are encouraged to review the performance indicators at the Mid-Year Review for indications of equitability of access to resources across sex and age.</w:t>
      </w:r>
    </w:p>
    <w:p w14:paraId="600A77D5" w14:textId="0FFDEE59" w:rsidR="00327F2E" w:rsidRPr="00413A2B" w:rsidRDefault="00327F2E" w:rsidP="00413A2B">
      <w:pPr>
        <w:jc w:val="both"/>
        <w:rPr>
          <w:rFonts w:asciiTheme="majorHAnsi" w:hAnsiTheme="majorHAnsi" w:cstheme="majorHAnsi"/>
          <w:sz w:val="22"/>
          <w:szCs w:val="22"/>
        </w:rPr>
      </w:pPr>
    </w:p>
    <w:p w14:paraId="0CA4108E" w14:textId="073DC8C0" w:rsidR="00466685" w:rsidRPr="00413A2B" w:rsidRDefault="00173A4B" w:rsidP="00413A2B">
      <w:pPr>
        <w:jc w:val="both"/>
        <w:rPr>
          <w:rFonts w:asciiTheme="majorHAnsi" w:hAnsiTheme="majorHAnsi" w:cstheme="majorHAnsi"/>
          <w:sz w:val="22"/>
          <w:szCs w:val="22"/>
        </w:rPr>
      </w:pPr>
      <w:r w:rsidRPr="00413A2B">
        <w:rPr>
          <w:rFonts w:asciiTheme="majorHAnsi" w:hAnsiTheme="majorHAnsi" w:cstheme="majorHAnsi"/>
          <w:sz w:val="22"/>
          <w:szCs w:val="22"/>
        </w:rPr>
        <w:t>T</w:t>
      </w:r>
      <w:r w:rsidR="00327F2E" w:rsidRPr="00413A2B">
        <w:rPr>
          <w:rFonts w:asciiTheme="majorHAnsi" w:hAnsiTheme="majorHAnsi" w:cstheme="majorHAnsi"/>
          <w:sz w:val="22"/>
          <w:szCs w:val="22"/>
        </w:rPr>
        <w:t>ip sheet</w:t>
      </w:r>
      <w:r w:rsidRPr="00413A2B">
        <w:rPr>
          <w:rFonts w:asciiTheme="majorHAnsi" w:hAnsiTheme="majorHAnsi" w:cstheme="majorHAnsi"/>
          <w:sz w:val="22"/>
          <w:szCs w:val="22"/>
        </w:rPr>
        <w:t>s for sectors on how to code using the Gender Marker</w:t>
      </w:r>
      <w:r w:rsidR="00327F2E" w:rsidRPr="00413A2B">
        <w:rPr>
          <w:rFonts w:asciiTheme="majorHAnsi" w:hAnsiTheme="majorHAnsi" w:cstheme="majorHAnsi"/>
          <w:sz w:val="22"/>
          <w:szCs w:val="22"/>
        </w:rPr>
        <w:t xml:space="preserve"> </w:t>
      </w:r>
      <w:r w:rsidR="000B6266" w:rsidRPr="00413A2B">
        <w:rPr>
          <w:rFonts w:asciiTheme="majorHAnsi" w:hAnsiTheme="majorHAnsi" w:cstheme="majorHAnsi"/>
          <w:sz w:val="22"/>
          <w:szCs w:val="22"/>
        </w:rPr>
        <w:t>are available on the Syrian Refugee Response web portal and are</w:t>
      </w:r>
      <w:r w:rsidR="00327F2E" w:rsidRPr="00413A2B">
        <w:rPr>
          <w:rFonts w:asciiTheme="majorHAnsi" w:hAnsiTheme="majorHAnsi" w:cstheme="majorHAnsi"/>
          <w:sz w:val="22"/>
          <w:szCs w:val="22"/>
        </w:rPr>
        <w:t xml:space="preserve"> featured on </w:t>
      </w:r>
      <w:hyperlink r:id="rId8" w:history="1">
        <w:r w:rsidR="00C61672" w:rsidRPr="00413A2B">
          <w:rPr>
            <w:rStyle w:val="Hyperlink"/>
            <w:rFonts w:asciiTheme="majorHAnsi" w:hAnsiTheme="majorHAnsi" w:cstheme="majorHAnsi"/>
            <w:sz w:val="22"/>
            <w:szCs w:val="22"/>
          </w:rPr>
          <w:t>http://humanitarianresponse.info</w:t>
        </w:r>
      </w:hyperlink>
      <w:r w:rsidR="00327F2E" w:rsidRPr="00413A2B">
        <w:rPr>
          <w:rFonts w:asciiTheme="majorHAnsi" w:hAnsiTheme="majorHAnsi" w:cstheme="majorHAnsi"/>
          <w:sz w:val="22"/>
          <w:szCs w:val="22"/>
        </w:rPr>
        <w:t>.</w:t>
      </w:r>
    </w:p>
    <w:p w14:paraId="0D1BD9D3" w14:textId="77777777" w:rsidR="00327F2E" w:rsidRPr="00413A2B" w:rsidRDefault="00327F2E" w:rsidP="00413A2B">
      <w:pPr>
        <w:jc w:val="both"/>
        <w:rPr>
          <w:rFonts w:asciiTheme="majorHAnsi" w:hAnsiTheme="majorHAnsi" w:cstheme="majorHAnsi"/>
          <w:sz w:val="22"/>
          <w:szCs w:val="22"/>
        </w:rPr>
      </w:pPr>
      <w:r w:rsidRPr="00413A2B">
        <w:rPr>
          <w:rFonts w:asciiTheme="majorHAnsi" w:hAnsiTheme="majorHAnsi" w:cstheme="majorHAnsi"/>
          <w:sz w:val="22"/>
          <w:szCs w:val="22"/>
        </w:rPr>
        <w:t xml:space="preserve"> </w:t>
      </w:r>
    </w:p>
    <w:p w14:paraId="00803D03" w14:textId="77777777" w:rsidR="00327F2E" w:rsidRPr="00413A2B" w:rsidRDefault="00327F2E" w:rsidP="00413A2B">
      <w:pPr>
        <w:jc w:val="both"/>
        <w:rPr>
          <w:rFonts w:asciiTheme="majorHAnsi" w:hAnsiTheme="majorHAnsi" w:cstheme="majorHAnsi"/>
          <w:sz w:val="22"/>
          <w:szCs w:val="22"/>
        </w:rPr>
      </w:pPr>
    </w:p>
    <w:p w14:paraId="52B148E5" w14:textId="77777777" w:rsidR="00327F2E" w:rsidRPr="00413A2B" w:rsidRDefault="00327F2E" w:rsidP="00327F2E">
      <w:pPr>
        <w:rPr>
          <w:rFonts w:asciiTheme="majorHAnsi" w:hAnsiTheme="majorHAnsi" w:cstheme="majorHAnsi"/>
          <w:sz w:val="22"/>
          <w:szCs w:val="22"/>
        </w:rPr>
      </w:pPr>
    </w:p>
    <w:sectPr w:rsidR="00327F2E" w:rsidRPr="00413A2B" w:rsidSect="0090238F">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4307C" w14:textId="77777777" w:rsidR="000B6266" w:rsidRDefault="000B6266" w:rsidP="00DC3EC4">
      <w:r>
        <w:separator/>
      </w:r>
    </w:p>
  </w:endnote>
  <w:endnote w:type="continuationSeparator" w:id="0">
    <w:p w14:paraId="0ED52934" w14:textId="77777777" w:rsidR="000B6266" w:rsidRDefault="000B6266" w:rsidP="00DC3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66ADB" w14:textId="77777777" w:rsidR="000B6266" w:rsidRDefault="000B6266" w:rsidP="00DC3EC4">
      <w:r>
        <w:separator/>
      </w:r>
    </w:p>
  </w:footnote>
  <w:footnote w:type="continuationSeparator" w:id="0">
    <w:p w14:paraId="367FFBAD" w14:textId="77777777" w:rsidR="000B6266" w:rsidRDefault="000B6266" w:rsidP="00DC3E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D4D779"/>
    <w:multiLevelType w:val="hybridMultilevel"/>
    <w:tmpl w:val="A9D26B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C0B0050"/>
    <w:multiLevelType w:val="hybridMultilevel"/>
    <w:tmpl w:val="F26435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0F2B426"/>
    <w:multiLevelType w:val="hybridMultilevel"/>
    <w:tmpl w:val="39CE5CB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B03B34C"/>
    <w:multiLevelType w:val="hybridMultilevel"/>
    <w:tmpl w:val="9604282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BB0180A"/>
    <w:multiLevelType w:val="hybridMultilevel"/>
    <w:tmpl w:val="7C230F3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EEA0D12"/>
    <w:multiLevelType w:val="hybridMultilevel"/>
    <w:tmpl w:val="DA56A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5A04C8"/>
    <w:multiLevelType w:val="hybridMultilevel"/>
    <w:tmpl w:val="CB2349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F2E"/>
    <w:rsid w:val="000B6266"/>
    <w:rsid w:val="00173A4B"/>
    <w:rsid w:val="00327F2E"/>
    <w:rsid w:val="00413A2B"/>
    <w:rsid w:val="00466685"/>
    <w:rsid w:val="004A24A2"/>
    <w:rsid w:val="00710A33"/>
    <w:rsid w:val="007B7101"/>
    <w:rsid w:val="00842333"/>
    <w:rsid w:val="00844654"/>
    <w:rsid w:val="0090238F"/>
    <w:rsid w:val="00986FA7"/>
    <w:rsid w:val="009B67EF"/>
    <w:rsid w:val="00B86FFE"/>
    <w:rsid w:val="00C61672"/>
    <w:rsid w:val="00DC3EC4"/>
    <w:rsid w:val="00E17A2C"/>
    <w:rsid w:val="00FC3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FF49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EC4"/>
    <w:pPr>
      <w:ind w:left="720"/>
      <w:contextualSpacing/>
    </w:pPr>
  </w:style>
  <w:style w:type="paragraph" w:styleId="FootnoteText">
    <w:name w:val="footnote text"/>
    <w:basedOn w:val="Normal"/>
    <w:link w:val="FootnoteTextChar"/>
    <w:uiPriority w:val="99"/>
    <w:unhideWhenUsed/>
    <w:rsid w:val="00DC3EC4"/>
  </w:style>
  <w:style w:type="character" w:customStyle="1" w:styleId="FootnoteTextChar">
    <w:name w:val="Footnote Text Char"/>
    <w:basedOn w:val="DefaultParagraphFont"/>
    <w:link w:val="FootnoteText"/>
    <w:uiPriority w:val="99"/>
    <w:rsid w:val="00DC3EC4"/>
  </w:style>
  <w:style w:type="character" w:styleId="FootnoteReference">
    <w:name w:val="footnote reference"/>
    <w:basedOn w:val="DefaultParagraphFont"/>
    <w:uiPriority w:val="99"/>
    <w:unhideWhenUsed/>
    <w:rsid w:val="00DC3EC4"/>
    <w:rPr>
      <w:vertAlign w:val="superscript"/>
    </w:rPr>
  </w:style>
  <w:style w:type="character" w:styleId="Hyperlink">
    <w:name w:val="Hyperlink"/>
    <w:basedOn w:val="DefaultParagraphFont"/>
    <w:uiPriority w:val="99"/>
    <w:unhideWhenUsed/>
    <w:rsid w:val="00466685"/>
    <w:rPr>
      <w:color w:val="0000FF" w:themeColor="hyperlink"/>
      <w:u w:val="single"/>
    </w:rPr>
  </w:style>
  <w:style w:type="character" w:styleId="FollowedHyperlink">
    <w:name w:val="FollowedHyperlink"/>
    <w:basedOn w:val="DefaultParagraphFont"/>
    <w:uiPriority w:val="99"/>
    <w:semiHidden/>
    <w:unhideWhenUsed/>
    <w:rsid w:val="00C6167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EC4"/>
    <w:pPr>
      <w:ind w:left="720"/>
      <w:contextualSpacing/>
    </w:pPr>
  </w:style>
  <w:style w:type="paragraph" w:styleId="FootnoteText">
    <w:name w:val="footnote text"/>
    <w:basedOn w:val="Normal"/>
    <w:link w:val="FootnoteTextChar"/>
    <w:uiPriority w:val="99"/>
    <w:unhideWhenUsed/>
    <w:rsid w:val="00DC3EC4"/>
  </w:style>
  <w:style w:type="character" w:customStyle="1" w:styleId="FootnoteTextChar">
    <w:name w:val="Footnote Text Char"/>
    <w:basedOn w:val="DefaultParagraphFont"/>
    <w:link w:val="FootnoteText"/>
    <w:uiPriority w:val="99"/>
    <w:rsid w:val="00DC3EC4"/>
  </w:style>
  <w:style w:type="character" w:styleId="FootnoteReference">
    <w:name w:val="footnote reference"/>
    <w:basedOn w:val="DefaultParagraphFont"/>
    <w:uiPriority w:val="99"/>
    <w:unhideWhenUsed/>
    <w:rsid w:val="00DC3EC4"/>
    <w:rPr>
      <w:vertAlign w:val="superscript"/>
    </w:rPr>
  </w:style>
  <w:style w:type="character" w:styleId="Hyperlink">
    <w:name w:val="Hyperlink"/>
    <w:basedOn w:val="DefaultParagraphFont"/>
    <w:uiPriority w:val="99"/>
    <w:unhideWhenUsed/>
    <w:rsid w:val="00466685"/>
    <w:rPr>
      <w:color w:val="0000FF" w:themeColor="hyperlink"/>
      <w:u w:val="single"/>
    </w:rPr>
  </w:style>
  <w:style w:type="character" w:styleId="FollowedHyperlink">
    <w:name w:val="FollowedHyperlink"/>
    <w:basedOn w:val="DefaultParagraphFont"/>
    <w:uiPriority w:val="99"/>
    <w:semiHidden/>
    <w:unhideWhenUsed/>
    <w:rsid w:val="00C616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humanitarianresponse.inf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1124</Words>
  <Characters>6408</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Merrin Waterhouse</dc:creator>
  <cp:lastModifiedBy>UNHCRuser</cp:lastModifiedBy>
  <cp:revision>2</cp:revision>
  <dcterms:created xsi:type="dcterms:W3CDTF">2014-09-04T14:21:00Z</dcterms:created>
  <dcterms:modified xsi:type="dcterms:W3CDTF">2014-09-04T14:21:00Z</dcterms:modified>
</cp:coreProperties>
</file>