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75" w:rsidRPr="0094224A" w:rsidRDefault="00315F75" w:rsidP="00315F75">
      <w:pPr>
        <w:rPr>
          <w:rFonts w:cs="Arial"/>
          <w:b/>
          <w:sz w:val="28"/>
        </w:rPr>
      </w:pPr>
      <w:bookmarkStart w:id="0" w:name="_GoBack"/>
      <w:bookmarkEnd w:id="0"/>
      <w:r w:rsidRPr="0094224A">
        <w:rPr>
          <w:rFonts w:cs="Arial"/>
          <w:b/>
          <w:sz w:val="28"/>
        </w:rPr>
        <w:t>Shelter and</w:t>
      </w:r>
      <w:r w:rsidR="008B122D" w:rsidRPr="0094224A">
        <w:rPr>
          <w:rFonts w:cs="Arial"/>
          <w:b/>
          <w:sz w:val="28"/>
        </w:rPr>
        <w:t xml:space="preserve"> NFI Cluster Iraq</w:t>
      </w:r>
      <w:r w:rsidRPr="0094224A">
        <w:rPr>
          <w:rFonts w:cs="Arial"/>
          <w:b/>
          <w:sz w:val="28"/>
        </w:rPr>
        <w:t xml:space="preserve"> </w:t>
      </w:r>
      <w:r w:rsidR="0094224A">
        <w:rPr>
          <w:rFonts w:cs="Arial"/>
          <w:b/>
          <w:sz w:val="28"/>
        </w:rPr>
        <w:tab/>
      </w:r>
      <w:r w:rsidR="0094224A">
        <w:rPr>
          <w:rFonts w:cs="Arial"/>
          <w:b/>
          <w:sz w:val="28"/>
        </w:rPr>
        <w:tab/>
      </w:r>
      <w:r w:rsidR="0094224A">
        <w:rPr>
          <w:rFonts w:cs="Arial"/>
          <w:b/>
          <w:sz w:val="28"/>
        </w:rPr>
        <w:tab/>
      </w:r>
      <w:r w:rsidR="0094224A">
        <w:rPr>
          <w:rFonts w:cs="Arial"/>
          <w:b/>
          <w:sz w:val="28"/>
        </w:rPr>
        <w:tab/>
      </w:r>
      <w:r w:rsidR="0094224A">
        <w:rPr>
          <w:rFonts w:cs="Arial"/>
          <w:b/>
          <w:sz w:val="28"/>
        </w:rPr>
        <w:tab/>
      </w:r>
      <w:r w:rsidR="0094224A">
        <w:rPr>
          <w:rFonts w:cs="Arial"/>
          <w:b/>
          <w:sz w:val="28"/>
        </w:rPr>
        <w:tab/>
      </w:r>
      <w:r w:rsidR="0094224A">
        <w:rPr>
          <w:rFonts w:cs="Arial"/>
          <w:b/>
          <w:sz w:val="28"/>
        </w:rPr>
        <w:tab/>
      </w:r>
      <w:r w:rsidR="0094224A" w:rsidRPr="0094224A">
        <w:rPr>
          <w:rFonts w:cs="Arial"/>
          <w:sz w:val="20"/>
        </w:rPr>
        <w:t>02/03/17</w:t>
      </w:r>
    </w:p>
    <w:p w:rsidR="00315F75" w:rsidRPr="0094224A" w:rsidRDefault="0094224A" w:rsidP="00315F75">
      <w:pPr>
        <w:rPr>
          <w:rFonts w:cs="Arial"/>
          <w:sz w:val="24"/>
        </w:rPr>
      </w:pPr>
      <w:r>
        <w:rPr>
          <w:rFonts w:cs="Arial"/>
          <w:sz w:val="24"/>
        </w:rPr>
        <w:t>Overview of NFI Stock for Mosul Response</w:t>
      </w:r>
      <w:r w:rsidR="00AE17F1">
        <w:rPr>
          <w:rFonts w:cs="Arial"/>
          <w:sz w:val="24"/>
        </w:rPr>
        <w:t xml:space="preserve"> for UNHCR</w:t>
      </w:r>
    </w:p>
    <w:p w:rsidR="008B122D" w:rsidRPr="0094224A" w:rsidRDefault="0094224A" w:rsidP="00635175">
      <w:pPr>
        <w:pStyle w:val="Subtitle"/>
        <w:spacing w:after="120"/>
        <w:rPr>
          <w:rFonts w:asciiTheme="minorHAnsi" w:hAnsiTheme="minorHAnsi" w:cs="Arial"/>
          <w:b/>
          <w:color w:val="auto"/>
          <w:sz w:val="24"/>
          <w:szCs w:val="24"/>
        </w:rPr>
      </w:pPr>
      <w:r>
        <w:rPr>
          <w:rFonts w:asciiTheme="minorHAnsi" w:hAnsiTheme="minorHAnsi" w:cs="Arial"/>
          <w:b/>
          <w:color w:val="auto"/>
          <w:sz w:val="24"/>
          <w:szCs w:val="24"/>
        </w:rPr>
        <w:t>Introduction</w:t>
      </w:r>
    </w:p>
    <w:p w:rsidR="00E24436" w:rsidRDefault="0094224A" w:rsidP="0094224A">
      <w:pPr>
        <w:jc w:val="both"/>
        <w:rPr>
          <w:rFonts w:cs="Arial"/>
        </w:rPr>
      </w:pPr>
      <w:r>
        <w:rPr>
          <w:rFonts w:cs="Arial"/>
        </w:rPr>
        <w:t>This overview should be read in conjunction with the Non-Food items Stock map available on the Cluster’s website.</w:t>
      </w:r>
    </w:p>
    <w:p w:rsidR="0094224A" w:rsidRDefault="0094224A" w:rsidP="0094224A">
      <w:pPr>
        <w:jc w:val="both"/>
        <w:rPr>
          <w:rFonts w:cs="Arial"/>
        </w:rPr>
      </w:pPr>
      <w:r>
        <w:rPr>
          <w:rFonts w:cs="Arial"/>
        </w:rPr>
        <w:t>Basic NFI kit (BNFI) is intended for those settling for two weeks (see map for kit contents) while those in transit a Mobile NFI kits (MNFI) is recommended.</w:t>
      </w:r>
    </w:p>
    <w:p w:rsidR="0094224A" w:rsidRDefault="0094224A" w:rsidP="0094224A">
      <w:pPr>
        <w:jc w:val="both"/>
        <w:rPr>
          <w:rFonts w:cs="Arial"/>
        </w:rPr>
      </w:pPr>
      <w:r>
        <w:rPr>
          <w:rFonts w:cs="Arial"/>
        </w:rPr>
        <w:t xml:space="preserve">As of </w:t>
      </w:r>
      <w:r w:rsidR="00AE17F1">
        <w:rPr>
          <w:rFonts w:cs="Arial"/>
        </w:rPr>
        <w:t>2</w:t>
      </w:r>
      <w:r w:rsidR="00AE17F1" w:rsidRPr="00AE17F1">
        <w:rPr>
          <w:rFonts w:cs="Arial"/>
          <w:vertAlign w:val="superscript"/>
        </w:rPr>
        <w:t>nd</w:t>
      </w:r>
      <w:r w:rsidR="00AE17F1">
        <w:rPr>
          <w:rFonts w:cs="Arial"/>
        </w:rPr>
        <w:t xml:space="preserve"> March</w:t>
      </w:r>
      <w:r>
        <w:rPr>
          <w:rFonts w:cs="Arial"/>
        </w:rPr>
        <w:t xml:space="preserve"> 2017, the Cluster’s partners have 4</w:t>
      </w:r>
      <w:r w:rsidR="001E17C4">
        <w:rPr>
          <w:rFonts w:cs="Arial"/>
        </w:rPr>
        <w:t>8</w:t>
      </w:r>
      <w:r>
        <w:rPr>
          <w:rFonts w:cs="Arial"/>
        </w:rPr>
        <w:t>,</w:t>
      </w:r>
      <w:r w:rsidR="001E17C4">
        <w:rPr>
          <w:rFonts w:cs="Arial"/>
        </w:rPr>
        <w:t>14</w:t>
      </w:r>
      <w:r>
        <w:rPr>
          <w:rFonts w:cs="Arial"/>
        </w:rPr>
        <w:t>7 BNFIs and 2,532 MNFIs on the ground ready to be deployed</w:t>
      </w:r>
      <w:r w:rsidR="001E17C4">
        <w:rPr>
          <w:rFonts w:cs="Arial"/>
        </w:rPr>
        <w:t xml:space="preserve">, however only </w:t>
      </w:r>
      <w:r w:rsidR="001E17C4" w:rsidRPr="001E17C4">
        <w:rPr>
          <w:rFonts w:cs="Arial"/>
          <w:b/>
        </w:rPr>
        <w:t>4</w:t>
      </w:r>
      <w:r w:rsidR="00647061">
        <w:rPr>
          <w:rFonts w:cs="Arial"/>
          <w:b/>
        </w:rPr>
        <w:t>2</w:t>
      </w:r>
      <w:r w:rsidR="001E17C4" w:rsidRPr="001E17C4">
        <w:rPr>
          <w:rFonts w:cs="Arial"/>
          <w:b/>
        </w:rPr>
        <w:t>,1</w:t>
      </w:r>
      <w:r w:rsidR="00647061">
        <w:rPr>
          <w:rFonts w:cs="Arial"/>
          <w:b/>
        </w:rPr>
        <w:t>2</w:t>
      </w:r>
      <w:r w:rsidR="001E17C4" w:rsidRPr="001E17C4">
        <w:rPr>
          <w:rFonts w:cs="Arial"/>
          <w:b/>
        </w:rPr>
        <w:t>1</w:t>
      </w:r>
      <w:r w:rsidR="001E17C4">
        <w:rPr>
          <w:rFonts w:cs="Arial"/>
        </w:rPr>
        <w:t xml:space="preserve"> are designated for camps</w:t>
      </w:r>
      <w:r>
        <w:rPr>
          <w:rFonts w:cs="Arial"/>
        </w:rPr>
        <w:t>.  These are stored in four locations, not including stock waiting to be distributed in the camps.</w:t>
      </w:r>
    </w:p>
    <w:p w:rsidR="0094224A" w:rsidRDefault="0094224A" w:rsidP="0094224A">
      <w:pPr>
        <w:jc w:val="both"/>
        <w:rPr>
          <w:rFonts w:cs="Arial"/>
          <w:b/>
        </w:rPr>
      </w:pPr>
      <w:r w:rsidRPr="0094224A">
        <w:rPr>
          <w:rFonts w:cs="Arial"/>
          <w:b/>
        </w:rPr>
        <w:t>North</w:t>
      </w:r>
    </w:p>
    <w:p w:rsidR="00975FFB" w:rsidRDefault="0094224A" w:rsidP="0094224A">
      <w:pPr>
        <w:jc w:val="both"/>
        <w:rPr>
          <w:rFonts w:cs="Arial"/>
        </w:rPr>
      </w:pPr>
      <w:r>
        <w:rPr>
          <w:rFonts w:cs="Arial"/>
        </w:rPr>
        <w:t xml:space="preserve">In the North there are </w:t>
      </w:r>
      <w:r w:rsidR="00A73000">
        <w:rPr>
          <w:rFonts w:cs="Arial"/>
        </w:rPr>
        <w:t>7</w:t>
      </w:r>
      <w:r w:rsidR="001E17C4">
        <w:rPr>
          <w:rFonts w:cs="Arial"/>
        </w:rPr>
        <w:t>,0</w:t>
      </w:r>
      <w:r w:rsidR="00A73000">
        <w:rPr>
          <w:rFonts w:cs="Arial"/>
        </w:rPr>
        <w:t>7</w:t>
      </w:r>
      <w:r w:rsidR="001E17C4">
        <w:rPr>
          <w:rFonts w:cs="Arial"/>
        </w:rPr>
        <w:t>1</w:t>
      </w:r>
      <w:r w:rsidR="00975FFB">
        <w:rPr>
          <w:rFonts w:cs="Arial"/>
        </w:rPr>
        <w:t xml:space="preserve"> BNF</w:t>
      </w:r>
      <w:r w:rsidR="00A64F0A">
        <w:rPr>
          <w:rFonts w:cs="Arial"/>
        </w:rPr>
        <w:t>I</w:t>
      </w:r>
      <w:r w:rsidR="00975FFB">
        <w:rPr>
          <w:rFonts w:cs="Arial"/>
        </w:rPr>
        <w:t>s</w:t>
      </w:r>
      <w:r w:rsidR="00A73000">
        <w:rPr>
          <w:rFonts w:cs="Arial"/>
        </w:rPr>
        <w:t xml:space="preserve"> for camp use</w:t>
      </w:r>
      <w:r w:rsidR="00975FFB">
        <w:rPr>
          <w:rFonts w:cs="Arial"/>
        </w:rPr>
        <w:t xml:space="preserve">.  With the exception of 1,500 BNFIs stored by UNHCR these kits </w:t>
      </w:r>
      <w:r w:rsidR="00975FFB" w:rsidRPr="00975FFB">
        <w:rPr>
          <w:rFonts w:cs="Arial"/>
          <w:u w:val="single"/>
        </w:rPr>
        <w:t>cannot</w:t>
      </w:r>
      <w:r w:rsidR="00975FFB">
        <w:rPr>
          <w:rFonts w:cs="Arial"/>
        </w:rPr>
        <w:t xml:space="preserve"> be deployed to the South.  The anticipated need </w:t>
      </w:r>
      <w:r w:rsidR="006643C3">
        <w:rPr>
          <w:rFonts w:cs="Arial"/>
        </w:rPr>
        <w:t>in</w:t>
      </w:r>
      <w:r w:rsidR="00975FFB">
        <w:rPr>
          <w:rFonts w:cs="Arial"/>
        </w:rPr>
        <w:t xml:space="preserve"> Nargazila 1 &amp; 2</w:t>
      </w:r>
      <w:r w:rsidR="006643C3">
        <w:rPr>
          <w:rFonts w:cs="Arial"/>
        </w:rPr>
        <w:t xml:space="preserve"> is approximately 5,600 depending on returns</w:t>
      </w:r>
      <w:r w:rsidR="00975FFB">
        <w:rPr>
          <w:rFonts w:cs="Arial"/>
        </w:rPr>
        <w:t xml:space="preserve">.  Therefore, the Cluster recommends that Dorcas, Mission East, WHH and Medair </w:t>
      </w:r>
      <w:r w:rsidR="006643C3">
        <w:rPr>
          <w:rFonts w:cs="Arial"/>
        </w:rPr>
        <w:t xml:space="preserve">meet the needs of Narzila 1 &amp; 2 </w:t>
      </w:r>
      <w:r w:rsidR="00A73000">
        <w:rPr>
          <w:rFonts w:cs="Arial"/>
        </w:rPr>
        <w:t>(5,</w:t>
      </w:r>
      <w:r w:rsidR="00647061">
        <w:rPr>
          <w:rFonts w:cs="Arial"/>
        </w:rPr>
        <w:t>600</w:t>
      </w:r>
      <w:r w:rsidR="00A73000">
        <w:rPr>
          <w:rFonts w:cs="Arial"/>
        </w:rPr>
        <w:t xml:space="preserve">) </w:t>
      </w:r>
      <w:r w:rsidR="006643C3">
        <w:rPr>
          <w:rFonts w:cs="Arial"/>
        </w:rPr>
        <w:t>and</w:t>
      </w:r>
      <w:r w:rsidR="00975FFB">
        <w:rPr>
          <w:rFonts w:cs="Arial"/>
        </w:rPr>
        <w:t xml:space="preserve"> UNHCR </w:t>
      </w:r>
      <w:r w:rsidR="006643C3">
        <w:rPr>
          <w:rFonts w:cs="Arial"/>
        </w:rPr>
        <w:t>covers Amalla</w:t>
      </w:r>
      <w:r w:rsidR="00A73000">
        <w:rPr>
          <w:rFonts w:cs="Arial"/>
        </w:rPr>
        <w:t xml:space="preserve"> (3,000)</w:t>
      </w:r>
      <w:r w:rsidR="00975FFB">
        <w:rPr>
          <w:rFonts w:cs="Arial"/>
        </w:rPr>
        <w:t>.</w:t>
      </w:r>
    </w:p>
    <w:p w:rsidR="0094224A" w:rsidRPr="00C069F9" w:rsidRDefault="00975FFB" w:rsidP="0094224A">
      <w:pPr>
        <w:jc w:val="both"/>
        <w:rPr>
          <w:rFonts w:cs="Arial"/>
          <w:b/>
        </w:rPr>
      </w:pPr>
      <w:r w:rsidRPr="00C069F9">
        <w:rPr>
          <w:rFonts w:cs="Arial"/>
          <w:b/>
        </w:rPr>
        <w:t>Central</w:t>
      </w:r>
    </w:p>
    <w:p w:rsidR="00975FFB" w:rsidRDefault="00C069F9" w:rsidP="0094224A">
      <w:pPr>
        <w:jc w:val="both"/>
        <w:rPr>
          <w:rFonts w:cs="Arial"/>
        </w:rPr>
      </w:pPr>
      <w:r>
        <w:rPr>
          <w:rFonts w:cs="Arial"/>
        </w:rPr>
        <w:t>The only available partner for the camps east of Mosul including Bartella is UNHCR.</w:t>
      </w:r>
    </w:p>
    <w:p w:rsidR="00C069F9" w:rsidRPr="00C069F9" w:rsidRDefault="00C069F9" w:rsidP="0094224A">
      <w:pPr>
        <w:jc w:val="both"/>
        <w:rPr>
          <w:rFonts w:cs="Arial"/>
          <w:b/>
        </w:rPr>
      </w:pPr>
      <w:r w:rsidRPr="00C069F9">
        <w:rPr>
          <w:rFonts w:cs="Arial"/>
          <w:b/>
        </w:rPr>
        <w:t>South</w:t>
      </w:r>
    </w:p>
    <w:p w:rsidR="00C069F9" w:rsidRDefault="00C069F9" w:rsidP="0094224A">
      <w:pPr>
        <w:jc w:val="both"/>
        <w:rPr>
          <w:rFonts w:cs="Arial"/>
        </w:rPr>
      </w:pPr>
      <w:r>
        <w:rPr>
          <w:rFonts w:cs="Arial"/>
        </w:rPr>
        <w:t>For the Southern camps the two main partners are IOM (Airstrip and Haj Ali) and UNHCR (Jed’ah) supported by SCF (300) and QRCS (100).  IO</w:t>
      </w:r>
      <w:r w:rsidR="006643C3">
        <w:rPr>
          <w:rFonts w:cs="Arial"/>
        </w:rPr>
        <w:t>M has</w:t>
      </w:r>
      <w:r>
        <w:rPr>
          <w:rFonts w:cs="Arial"/>
        </w:rPr>
        <w:t xml:space="preserve"> limited stock but more are in the pipelin</w:t>
      </w:r>
      <w:r w:rsidR="006643C3">
        <w:rPr>
          <w:rFonts w:cs="Arial"/>
        </w:rPr>
        <w:t>e and assuming there are</w:t>
      </w:r>
      <w:r>
        <w:rPr>
          <w:rFonts w:cs="Arial"/>
        </w:rPr>
        <w:t xml:space="preserve"> no significant returns allowing more new arrivals, their stocks </w:t>
      </w:r>
      <w:r w:rsidR="00A73000">
        <w:rPr>
          <w:rFonts w:cs="Arial"/>
        </w:rPr>
        <w:t>should</w:t>
      </w:r>
      <w:r>
        <w:rPr>
          <w:rFonts w:cs="Arial"/>
        </w:rPr>
        <w:t xml:space="preserve"> be sufficient.</w:t>
      </w:r>
    </w:p>
    <w:p w:rsidR="00C069F9" w:rsidRDefault="00483D9C" w:rsidP="0094224A">
      <w:pPr>
        <w:jc w:val="both"/>
        <w:rPr>
          <w:rFonts w:cs="Arial"/>
        </w:rPr>
      </w:pPr>
      <w:r>
        <w:rPr>
          <w:rFonts w:cs="Arial"/>
        </w:rPr>
        <w:t xml:space="preserve">Therefore, UNHCR will need to cover the majority </w:t>
      </w:r>
      <w:r w:rsidR="006643C3">
        <w:rPr>
          <w:rFonts w:cs="Arial"/>
        </w:rPr>
        <w:t xml:space="preserve">of </w:t>
      </w:r>
      <w:r>
        <w:rPr>
          <w:rFonts w:cs="Arial"/>
        </w:rPr>
        <w:t>need in HAAL and Al Salamiya.</w:t>
      </w:r>
    </w:p>
    <w:p w:rsidR="00483D9C" w:rsidRDefault="00483D9C" w:rsidP="0094224A">
      <w:pPr>
        <w:jc w:val="both"/>
        <w:rPr>
          <w:rFonts w:cs="Arial"/>
        </w:rPr>
      </w:pPr>
    </w:p>
    <w:p w:rsidR="00483D9C" w:rsidRPr="00483D9C" w:rsidRDefault="00483D9C" w:rsidP="0094224A">
      <w:pPr>
        <w:jc w:val="both"/>
        <w:rPr>
          <w:rFonts w:cs="Arial"/>
          <w:b/>
        </w:rPr>
      </w:pPr>
      <w:r w:rsidRPr="00483D9C">
        <w:rPr>
          <w:rFonts w:cs="Arial"/>
          <w:b/>
        </w:rPr>
        <w:t>Conclusions</w:t>
      </w:r>
    </w:p>
    <w:p w:rsidR="00483D9C" w:rsidRDefault="00483D9C" w:rsidP="0094224A">
      <w:pPr>
        <w:jc w:val="both"/>
        <w:rPr>
          <w:rFonts w:cs="Arial"/>
        </w:rPr>
      </w:pPr>
      <w:r>
        <w:rPr>
          <w:rFonts w:cs="Arial"/>
        </w:rPr>
        <w:t>Assuming that:</w:t>
      </w:r>
    </w:p>
    <w:p w:rsidR="00483D9C" w:rsidRDefault="00483D9C" w:rsidP="00483D9C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Family size = 6</w:t>
      </w:r>
    </w:p>
    <w:p w:rsidR="00483D9C" w:rsidRDefault="00483D9C" w:rsidP="00483D9C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No restriction of access or geographical location</w:t>
      </w:r>
    </w:p>
    <w:p w:rsidR="00483D9C" w:rsidRDefault="00483D9C" w:rsidP="00483D9C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30% returns allowing </w:t>
      </w:r>
      <w:r w:rsidR="00A73000">
        <w:rPr>
          <w:rFonts w:cs="Arial"/>
        </w:rPr>
        <w:t>new arrivals</w:t>
      </w:r>
      <w:r>
        <w:rPr>
          <w:rFonts w:cs="Arial"/>
        </w:rPr>
        <w:t xml:space="preserve"> </w:t>
      </w:r>
    </w:p>
    <w:p w:rsidR="001E17C4" w:rsidRDefault="001E17C4" w:rsidP="00483D9C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NGOs provide</w:t>
      </w:r>
      <w:r w:rsidR="006643C3">
        <w:rPr>
          <w:rFonts w:cs="Arial"/>
        </w:rPr>
        <w:t xml:space="preserve"> BNFIs for </w:t>
      </w:r>
      <w:r>
        <w:rPr>
          <w:rFonts w:cs="Arial"/>
        </w:rPr>
        <w:t xml:space="preserve"> and Nargazila 1 &amp; 2</w:t>
      </w:r>
    </w:p>
    <w:p w:rsidR="00AE17F1" w:rsidRDefault="00AE17F1" w:rsidP="00483D9C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IOM has sufficient stock to cover Airstrip and Haj Ali from stock and their pipeline</w:t>
      </w:r>
    </w:p>
    <w:p w:rsidR="00AE17F1" w:rsidRDefault="00AE17F1" w:rsidP="00483D9C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No NGOs receive additional pipeline stock and are willing to work in camps</w:t>
      </w:r>
    </w:p>
    <w:p w:rsidR="00AE17F1" w:rsidRDefault="00AE17F1">
      <w:pPr>
        <w:rPr>
          <w:rFonts w:cs="Arial"/>
        </w:rPr>
      </w:pPr>
    </w:p>
    <w:p w:rsidR="00AE17F1" w:rsidRPr="00AE17F1" w:rsidRDefault="00AE17F1" w:rsidP="00AE17F1">
      <w:pPr>
        <w:rPr>
          <w:rFonts w:ascii="Calibri" w:eastAsia="Times New Roman" w:hAnsi="Calibri" w:cs="Times New Roman"/>
          <w:b/>
          <w:bCs/>
          <w:color w:val="000000"/>
          <w:lang w:val="en-GB" w:eastAsia="en-GB"/>
        </w:rPr>
      </w:pPr>
      <w:r>
        <w:rPr>
          <w:rFonts w:cs="Arial"/>
        </w:rPr>
        <w:t>Total need by UNHCR is</w:t>
      </w:r>
      <w:r>
        <w:rPr>
          <w:rFonts w:ascii="Calibri" w:eastAsia="Times New Roman" w:hAnsi="Calibri" w:cs="Times New Roman"/>
          <w:b/>
          <w:bCs/>
          <w:color w:val="000000"/>
          <w:lang w:val="en-GB" w:eastAsia="en-GB"/>
        </w:rPr>
        <w:t xml:space="preserve"> 35,333</w:t>
      </w:r>
      <w:r w:rsidRPr="00AE17F1">
        <w:rPr>
          <w:rFonts w:ascii="Calibri" w:eastAsia="Times New Roman" w:hAnsi="Calibri" w:cs="Times New Roman"/>
          <w:b/>
          <w:bCs/>
          <w:color w:val="000000"/>
          <w:lang w:val="en-GB" w:eastAsia="en-GB"/>
        </w:rPr>
        <w:t xml:space="preserve"> </w:t>
      </w:r>
      <w:r w:rsidRPr="00AE17F1">
        <w:rPr>
          <w:rFonts w:ascii="Calibri" w:eastAsia="Times New Roman" w:hAnsi="Calibri" w:cs="Times New Roman"/>
          <w:bCs/>
          <w:color w:val="000000"/>
          <w:lang w:val="en-GB" w:eastAsia="en-GB"/>
        </w:rPr>
        <w:t>against a current stock level of</w:t>
      </w:r>
      <w:r>
        <w:rPr>
          <w:rFonts w:ascii="Calibri" w:eastAsia="Times New Roman" w:hAnsi="Calibri" w:cs="Times New Roman"/>
          <w:b/>
          <w:bCs/>
          <w:color w:val="000000"/>
          <w:lang w:val="en-GB" w:eastAsia="en-GB"/>
        </w:rPr>
        <w:t xml:space="preserve"> 33,600 </w:t>
      </w:r>
      <w:r w:rsidRPr="00AE17F1">
        <w:rPr>
          <w:rFonts w:ascii="Calibri" w:eastAsia="Times New Roman" w:hAnsi="Calibri" w:cs="Times New Roman"/>
          <w:bCs/>
          <w:color w:val="000000"/>
          <w:lang w:val="en-GB" w:eastAsia="en-GB"/>
        </w:rPr>
        <w:t xml:space="preserve">and so leaving a deficit of </w:t>
      </w:r>
      <w:r w:rsidRPr="00AE17F1">
        <w:rPr>
          <w:rFonts w:ascii="Calibri" w:eastAsia="Times New Roman" w:hAnsi="Calibri" w:cs="Times New Roman"/>
          <w:b/>
          <w:bCs/>
          <w:color w:val="000000"/>
          <w:lang w:val="en-GB" w:eastAsia="en-GB"/>
        </w:rPr>
        <w:t>1,733</w:t>
      </w:r>
    </w:p>
    <w:p w:rsidR="001E17C4" w:rsidRDefault="001E17C4">
      <w:pPr>
        <w:rPr>
          <w:rFonts w:cs="Arial"/>
        </w:rPr>
      </w:pPr>
      <w:r>
        <w:rPr>
          <w:rFonts w:cs="Arial"/>
        </w:rPr>
        <w:br w:type="page"/>
      </w:r>
    </w:p>
    <w:p w:rsidR="001E17C4" w:rsidRDefault="001E17C4" w:rsidP="00483D9C">
      <w:pPr>
        <w:jc w:val="both"/>
        <w:rPr>
          <w:rFonts w:cs="Arial"/>
        </w:rPr>
      </w:pPr>
    </w:p>
    <w:p w:rsidR="001E17C4" w:rsidRDefault="001E17C4" w:rsidP="001E17C4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39"/>
        <w:gridCol w:w="600"/>
        <w:gridCol w:w="2076"/>
        <w:gridCol w:w="887"/>
        <w:gridCol w:w="1121"/>
        <w:gridCol w:w="1570"/>
        <w:gridCol w:w="1083"/>
        <w:gridCol w:w="1040"/>
      </w:tblGrid>
      <w:tr w:rsidR="001E17C4" w:rsidRPr="00711E3C" w:rsidTr="00AE17F1">
        <w:trPr>
          <w:trHeight w:val="430"/>
        </w:trPr>
        <w:tc>
          <w:tcPr>
            <w:tcW w:w="639" w:type="dxa"/>
            <w:tcBorders>
              <w:bottom w:val="single" w:sz="12" w:space="0" w:color="7F1416"/>
            </w:tcBorders>
            <w:noWrap/>
            <w:hideMark/>
          </w:tcPr>
          <w:p w:rsidR="001E17C4" w:rsidRPr="001E17C4" w:rsidRDefault="001E17C4" w:rsidP="00B92F4A">
            <w:pPr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</w:pPr>
            <w:r w:rsidRPr="001E17C4"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  <w:t>Zone</w:t>
            </w:r>
          </w:p>
        </w:tc>
        <w:tc>
          <w:tcPr>
            <w:tcW w:w="595" w:type="dxa"/>
            <w:tcBorders>
              <w:bottom w:val="single" w:sz="12" w:space="0" w:color="7F1416"/>
            </w:tcBorders>
            <w:hideMark/>
          </w:tcPr>
          <w:p w:rsidR="001E17C4" w:rsidRPr="001E17C4" w:rsidRDefault="001E17C4" w:rsidP="00B92F4A">
            <w:pPr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</w:pPr>
            <w:r w:rsidRPr="001E17C4"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  <w:t>Gov.</w:t>
            </w:r>
          </w:p>
        </w:tc>
        <w:tc>
          <w:tcPr>
            <w:tcW w:w="2076" w:type="dxa"/>
            <w:tcBorders>
              <w:bottom w:val="single" w:sz="12" w:space="0" w:color="7F1416"/>
            </w:tcBorders>
            <w:hideMark/>
          </w:tcPr>
          <w:p w:rsidR="001E17C4" w:rsidRPr="001E17C4" w:rsidRDefault="001E17C4" w:rsidP="00B92F4A">
            <w:pPr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</w:pPr>
            <w:r w:rsidRPr="001E17C4"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  <w:t>Emergency Camps/ Sites</w:t>
            </w:r>
          </w:p>
        </w:tc>
        <w:tc>
          <w:tcPr>
            <w:tcW w:w="887" w:type="dxa"/>
            <w:tcBorders>
              <w:bottom w:val="single" w:sz="12" w:space="0" w:color="7F1416"/>
            </w:tcBorders>
            <w:noWrap/>
            <w:hideMark/>
          </w:tcPr>
          <w:p w:rsidR="001E17C4" w:rsidRPr="001E17C4" w:rsidRDefault="001E17C4" w:rsidP="00B92F4A">
            <w:pPr>
              <w:jc w:val="center"/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</w:pPr>
            <w:r w:rsidRPr="001E17C4"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  <w:t>Lead Agency</w:t>
            </w:r>
          </w:p>
        </w:tc>
        <w:tc>
          <w:tcPr>
            <w:tcW w:w="1121" w:type="dxa"/>
            <w:tcBorders>
              <w:bottom w:val="single" w:sz="12" w:space="0" w:color="7F1416"/>
            </w:tcBorders>
            <w:hideMark/>
          </w:tcPr>
          <w:p w:rsidR="001E17C4" w:rsidRPr="001E17C4" w:rsidRDefault="001E17C4" w:rsidP="00B92F4A">
            <w:pPr>
              <w:jc w:val="center"/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</w:pPr>
            <w:r w:rsidRPr="001E17C4"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  <w:t>Occupied</w:t>
            </w:r>
          </w:p>
        </w:tc>
        <w:tc>
          <w:tcPr>
            <w:tcW w:w="1570" w:type="dxa"/>
            <w:tcBorders>
              <w:bottom w:val="single" w:sz="12" w:space="0" w:color="7F1416"/>
            </w:tcBorders>
            <w:hideMark/>
          </w:tcPr>
          <w:p w:rsidR="001E17C4" w:rsidRPr="001E17C4" w:rsidRDefault="001E17C4" w:rsidP="00B92F4A">
            <w:pPr>
              <w:jc w:val="center"/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</w:pPr>
            <w:r w:rsidRPr="001E17C4"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  <w:t>Plot Available</w:t>
            </w:r>
          </w:p>
        </w:tc>
        <w:tc>
          <w:tcPr>
            <w:tcW w:w="1083" w:type="dxa"/>
            <w:tcBorders>
              <w:bottom w:val="single" w:sz="12" w:space="0" w:color="7F1416"/>
            </w:tcBorders>
            <w:hideMark/>
          </w:tcPr>
          <w:p w:rsidR="001E17C4" w:rsidRPr="001E17C4" w:rsidRDefault="001E17C4" w:rsidP="00B92F4A">
            <w:pPr>
              <w:jc w:val="center"/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</w:pPr>
            <w:r w:rsidRPr="001E17C4"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  <w:t>Additional Planned</w:t>
            </w:r>
          </w:p>
        </w:tc>
        <w:tc>
          <w:tcPr>
            <w:tcW w:w="1045" w:type="dxa"/>
            <w:tcBorders>
              <w:bottom w:val="single" w:sz="12" w:space="0" w:color="7F1416"/>
            </w:tcBorders>
          </w:tcPr>
          <w:p w:rsidR="001E17C4" w:rsidRPr="001E17C4" w:rsidRDefault="001E17C4" w:rsidP="00B92F4A">
            <w:pPr>
              <w:jc w:val="center"/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</w:pPr>
            <w:r w:rsidRPr="001E17C4">
              <w:rPr>
                <w:rFonts w:cstheme="minorHAnsi"/>
                <w:b/>
                <w:bCs/>
                <w:color w:val="7F1416" w:themeColor="background1"/>
                <w:sz w:val="20"/>
                <w:szCs w:val="20"/>
              </w:rPr>
              <w:t>NFI Partner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 w:val="restart"/>
            <w:tcBorders>
              <w:top w:val="single" w:sz="12" w:space="0" w:color="7F1416"/>
            </w:tcBorders>
            <w:noWrap/>
            <w:textDirection w:val="btLr"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EAST</w:t>
            </w:r>
          </w:p>
        </w:tc>
        <w:tc>
          <w:tcPr>
            <w:tcW w:w="595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tcBorders>
              <w:top w:val="single" w:sz="12" w:space="0" w:color="7F1416"/>
            </w:tcBorders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Hasansham U3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UNHCR</w:t>
            </w:r>
          </w:p>
        </w:tc>
        <w:tc>
          <w:tcPr>
            <w:tcW w:w="1121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1,796</w:t>
            </w:r>
          </w:p>
        </w:tc>
        <w:tc>
          <w:tcPr>
            <w:tcW w:w="1570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083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12" w:space="0" w:color="7F1416"/>
            </w:tcBorders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Khazer M1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MoMD</w:t>
            </w:r>
          </w:p>
        </w:tc>
        <w:tc>
          <w:tcPr>
            <w:tcW w:w="1121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5,408</w:t>
            </w:r>
          </w:p>
        </w:tc>
        <w:tc>
          <w:tcPr>
            <w:tcW w:w="1570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1,092</w:t>
            </w:r>
          </w:p>
        </w:tc>
        <w:tc>
          <w:tcPr>
            <w:tcW w:w="1083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Hasansham M2 (former Khazer M2)</w:t>
            </w:r>
          </w:p>
        </w:tc>
        <w:tc>
          <w:tcPr>
            <w:tcW w:w="887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MoMD</w:t>
            </w:r>
          </w:p>
        </w:tc>
        <w:tc>
          <w:tcPr>
            <w:tcW w:w="1121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4,447</w:t>
            </w:r>
          </w:p>
        </w:tc>
        <w:tc>
          <w:tcPr>
            <w:tcW w:w="1570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553</w:t>
            </w:r>
          </w:p>
        </w:tc>
        <w:tc>
          <w:tcPr>
            <w:tcW w:w="1083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045" w:type="dxa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Chamakor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UNHCR</w:t>
            </w:r>
          </w:p>
        </w:tc>
        <w:tc>
          <w:tcPr>
            <w:tcW w:w="1121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70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2,400</w:t>
            </w:r>
          </w:p>
        </w:tc>
        <w:tc>
          <w:tcPr>
            <w:tcW w:w="1083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Bartella</w:t>
            </w:r>
          </w:p>
        </w:tc>
        <w:tc>
          <w:tcPr>
            <w:tcW w:w="887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Ninewa Gov.</w:t>
            </w:r>
          </w:p>
        </w:tc>
        <w:tc>
          <w:tcPr>
            <w:tcW w:w="1121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70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Under construction</w:t>
            </w:r>
          </w:p>
        </w:tc>
        <w:tc>
          <w:tcPr>
            <w:tcW w:w="1083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3,000</w:t>
            </w:r>
          </w:p>
        </w:tc>
        <w:tc>
          <w:tcPr>
            <w:tcW w:w="1045" w:type="dxa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tcBorders>
              <w:bottom w:val="single" w:sz="12" w:space="0" w:color="7F1416"/>
            </w:tcBorders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tcBorders>
              <w:bottom w:val="single" w:sz="12" w:space="0" w:color="7F1416"/>
            </w:tcBorders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 xml:space="preserve">Hasansham U2 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UNHCR</w:t>
            </w:r>
          </w:p>
        </w:tc>
        <w:tc>
          <w:tcPr>
            <w:tcW w:w="1121" w:type="dxa"/>
            <w:tcBorders>
              <w:bottom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bottom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Under construction</w:t>
            </w:r>
          </w:p>
        </w:tc>
        <w:tc>
          <w:tcPr>
            <w:tcW w:w="1083" w:type="dxa"/>
            <w:tcBorders>
              <w:bottom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1,500</w:t>
            </w:r>
          </w:p>
        </w:tc>
        <w:tc>
          <w:tcPr>
            <w:tcW w:w="1045" w:type="dxa"/>
            <w:tcBorders>
              <w:bottom w:val="single" w:sz="12" w:space="0" w:color="7F1416"/>
            </w:tcBorders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 w:val="restart"/>
            <w:tcBorders>
              <w:top w:val="single" w:sz="12" w:space="0" w:color="7F1416"/>
            </w:tcBorders>
            <w:noWrap/>
            <w:textDirection w:val="btLr"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NORTH</w:t>
            </w:r>
          </w:p>
        </w:tc>
        <w:tc>
          <w:tcPr>
            <w:tcW w:w="595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Qaymawa (former Zelikan)</w:t>
            </w:r>
          </w:p>
        </w:tc>
        <w:tc>
          <w:tcPr>
            <w:tcW w:w="887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UNHCR</w:t>
            </w:r>
          </w:p>
        </w:tc>
        <w:tc>
          <w:tcPr>
            <w:tcW w:w="1121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624</w:t>
            </w:r>
          </w:p>
        </w:tc>
        <w:tc>
          <w:tcPr>
            <w:tcW w:w="1570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405</w:t>
            </w:r>
          </w:p>
        </w:tc>
        <w:tc>
          <w:tcPr>
            <w:tcW w:w="1083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12" w:space="0" w:color="7F1416"/>
            </w:tcBorders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Amalla</w:t>
            </w:r>
          </w:p>
          <w:p w:rsidR="00AE17F1" w:rsidRPr="00711E3C" w:rsidRDefault="00AE17F1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UNHCR</w:t>
            </w:r>
          </w:p>
        </w:tc>
        <w:tc>
          <w:tcPr>
            <w:tcW w:w="1121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70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3,032</w:t>
            </w:r>
          </w:p>
        </w:tc>
        <w:tc>
          <w:tcPr>
            <w:tcW w:w="1083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  <w:r w:rsidR="00AE17F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E17F1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shd w:val="clear" w:color="auto" w:fill="CBE8F9" w:themeFill="accent5" w:themeFillTint="33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Nargizlia 1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MoMD</w:t>
            </w:r>
          </w:p>
        </w:tc>
        <w:tc>
          <w:tcPr>
            <w:tcW w:w="1121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1,624</w:t>
            </w:r>
          </w:p>
        </w:tc>
        <w:tc>
          <w:tcPr>
            <w:tcW w:w="1570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1,040</w:t>
            </w:r>
          </w:p>
        </w:tc>
        <w:tc>
          <w:tcPr>
            <w:tcW w:w="1083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45" w:type="dxa"/>
            <w:shd w:val="clear" w:color="auto" w:fill="CBE8F9" w:themeFill="accent5" w:themeFillTint="33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NGO 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Zelikan (new)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MoMD</w:t>
            </w:r>
          </w:p>
        </w:tc>
        <w:tc>
          <w:tcPr>
            <w:tcW w:w="1121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70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Under construction</w:t>
            </w:r>
          </w:p>
        </w:tc>
        <w:tc>
          <w:tcPr>
            <w:tcW w:w="1083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4,360</w:t>
            </w:r>
          </w:p>
        </w:tc>
        <w:tc>
          <w:tcPr>
            <w:tcW w:w="1045" w:type="dxa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AE17F1" w:rsidRPr="00711E3C" w:rsidTr="00AE17F1">
        <w:trPr>
          <w:trHeight w:val="290"/>
        </w:trPr>
        <w:tc>
          <w:tcPr>
            <w:tcW w:w="639" w:type="dxa"/>
            <w:vMerge/>
            <w:tcBorders>
              <w:bottom w:val="single" w:sz="12" w:space="0" w:color="7F1416"/>
            </w:tcBorders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2" w:space="0" w:color="7F1416"/>
            </w:tcBorders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tcBorders>
              <w:bottom w:val="single" w:sz="12" w:space="0" w:color="7F1416"/>
            </w:tcBorders>
            <w:shd w:val="clear" w:color="auto" w:fill="CBE8F9" w:themeFill="accent5" w:themeFillTint="33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Nargizlia 2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12" w:space="0" w:color="7F1416"/>
            </w:tcBorders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MoMD</w:t>
            </w:r>
          </w:p>
        </w:tc>
        <w:tc>
          <w:tcPr>
            <w:tcW w:w="1121" w:type="dxa"/>
            <w:tcBorders>
              <w:bottom w:val="single" w:sz="12" w:space="0" w:color="7F1416"/>
            </w:tcBorders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70" w:type="dxa"/>
            <w:tcBorders>
              <w:bottom w:val="single" w:sz="12" w:space="0" w:color="7F1416"/>
            </w:tcBorders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Under construction</w:t>
            </w:r>
          </w:p>
        </w:tc>
        <w:tc>
          <w:tcPr>
            <w:tcW w:w="1083" w:type="dxa"/>
            <w:tcBorders>
              <w:bottom w:val="single" w:sz="12" w:space="0" w:color="7F1416"/>
            </w:tcBorders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4,080</w:t>
            </w:r>
          </w:p>
        </w:tc>
        <w:tc>
          <w:tcPr>
            <w:tcW w:w="1045" w:type="dxa"/>
            <w:tcBorders>
              <w:bottom w:val="single" w:sz="12" w:space="0" w:color="7F1416"/>
            </w:tcBorders>
            <w:shd w:val="clear" w:color="auto" w:fill="CBE8F9" w:themeFill="accent5" w:themeFillTint="33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NGO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 w:val="restart"/>
            <w:tcBorders>
              <w:top w:val="single" w:sz="12" w:space="0" w:color="7F1416"/>
            </w:tcBorders>
            <w:noWrap/>
            <w:textDirection w:val="btLr"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WEST</w:t>
            </w:r>
          </w:p>
        </w:tc>
        <w:tc>
          <w:tcPr>
            <w:tcW w:w="595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tcBorders>
              <w:top w:val="single" w:sz="12" w:space="0" w:color="7F1416"/>
            </w:tcBorders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Qayyarah Jad'ah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MoMD</w:t>
            </w:r>
          </w:p>
        </w:tc>
        <w:tc>
          <w:tcPr>
            <w:tcW w:w="1121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6,000</w:t>
            </w:r>
          </w:p>
        </w:tc>
        <w:tc>
          <w:tcPr>
            <w:tcW w:w="1570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FULL</w:t>
            </w:r>
          </w:p>
        </w:tc>
        <w:tc>
          <w:tcPr>
            <w:tcW w:w="1083" w:type="dxa"/>
            <w:tcBorders>
              <w:top w:val="single" w:sz="12" w:space="0" w:color="7F1416"/>
            </w:tcBorders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12" w:space="0" w:color="7F1416"/>
            </w:tcBorders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AE17F1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shd w:val="clear" w:color="auto" w:fill="CBE8F9" w:themeFill="accent5" w:themeFillTint="33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Qayyarah Airstrip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IOM</w:t>
            </w:r>
          </w:p>
        </w:tc>
        <w:tc>
          <w:tcPr>
            <w:tcW w:w="1121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5,000</w:t>
            </w:r>
          </w:p>
        </w:tc>
        <w:tc>
          <w:tcPr>
            <w:tcW w:w="1570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FULL</w:t>
            </w:r>
          </w:p>
        </w:tc>
        <w:tc>
          <w:tcPr>
            <w:tcW w:w="1083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5,000</w:t>
            </w:r>
          </w:p>
        </w:tc>
        <w:tc>
          <w:tcPr>
            <w:tcW w:w="1045" w:type="dxa"/>
            <w:shd w:val="clear" w:color="auto" w:fill="CBE8F9" w:themeFill="accent5" w:themeFillTint="33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IOM</w:t>
            </w:r>
          </w:p>
        </w:tc>
      </w:tr>
      <w:tr w:rsidR="00AE17F1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shd w:val="clear" w:color="auto" w:fill="CBE8F9" w:themeFill="accent5" w:themeFillTint="33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Haj Ali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IOM</w:t>
            </w:r>
          </w:p>
        </w:tc>
        <w:tc>
          <w:tcPr>
            <w:tcW w:w="1121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1,519</w:t>
            </w:r>
          </w:p>
        </w:tc>
        <w:tc>
          <w:tcPr>
            <w:tcW w:w="1570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FULL</w:t>
            </w:r>
          </w:p>
        </w:tc>
        <w:tc>
          <w:tcPr>
            <w:tcW w:w="1083" w:type="dxa"/>
            <w:shd w:val="clear" w:color="auto" w:fill="CBE8F9" w:themeFill="accent5" w:themeFillTint="33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5,981</w:t>
            </w:r>
          </w:p>
        </w:tc>
        <w:tc>
          <w:tcPr>
            <w:tcW w:w="1045" w:type="dxa"/>
            <w:shd w:val="clear" w:color="auto" w:fill="CBE8F9" w:themeFill="accent5" w:themeFillTint="33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IOM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Hammam al-Aliel 1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MoMD</w:t>
            </w:r>
          </w:p>
        </w:tc>
        <w:tc>
          <w:tcPr>
            <w:tcW w:w="1121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3,100</w:t>
            </w:r>
          </w:p>
        </w:tc>
        <w:tc>
          <w:tcPr>
            <w:tcW w:w="1570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900</w:t>
            </w:r>
          </w:p>
        </w:tc>
        <w:tc>
          <w:tcPr>
            <w:tcW w:w="1083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noWrap/>
            <w:hideMark/>
          </w:tcPr>
          <w:p w:rsidR="001E17C4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Hammam al-Aliel 2</w:t>
            </w:r>
          </w:p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UNHCR</w:t>
            </w:r>
          </w:p>
        </w:tc>
        <w:tc>
          <w:tcPr>
            <w:tcW w:w="1121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70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Under construction</w:t>
            </w:r>
          </w:p>
        </w:tc>
        <w:tc>
          <w:tcPr>
            <w:tcW w:w="1083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5,000</w:t>
            </w:r>
          </w:p>
        </w:tc>
        <w:tc>
          <w:tcPr>
            <w:tcW w:w="1045" w:type="dxa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UNHCR</w:t>
            </w:r>
          </w:p>
        </w:tc>
      </w:tr>
      <w:tr w:rsidR="001E17C4" w:rsidRPr="00711E3C" w:rsidTr="00AE17F1">
        <w:trPr>
          <w:trHeight w:val="290"/>
        </w:trPr>
        <w:tc>
          <w:tcPr>
            <w:tcW w:w="639" w:type="dxa"/>
            <w:vMerge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Nin.</w:t>
            </w:r>
          </w:p>
        </w:tc>
        <w:tc>
          <w:tcPr>
            <w:tcW w:w="2076" w:type="dxa"/>
            <w:noWrap/>
            <w:hideMark/>
          </w:tcPr>
          <w:p w:rsidR="001E17C4" w:rsidRPr="00711E3C" w:rsidRDefault="001E17C4" w:rsidP="00B92F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E3C">
              <w:rPr>
                <w:rFonts w:cstheme="minorHAnsi"/>
                <w:b/>
                <w:bCs/>
                <w:sz w:val="20"/>
                <w:szCs w:val="20"/>
              </w:rPr>
              <w:t>As Salamyiah</w:t>
            </w:r>
          </w:p>
        </w:tc>
        <w:tc>
          <w:tcPr>
            <w:tcW w:w="887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Ninewa Gov.</w:t>
            </w:r>
          </w:p>
        </w:tc>
        <w:tc>
          <w:tcPr>
            <w:tcW w:w="1121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70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Under construction</w:t>
            </w:r>
          </w:p>
        </w:tc>
        <w:tc>
          <w:tcPr>
            <w:tcW w:w="1083" w:type="dxa"/>
            <w:noWrap/>
            <w:hideMark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E3C">
              <w:rPr>
                <w:rFonts w:cstheme="minorHAnsi"/>
                <w:sz w:val="20"/>
                <w:szCs w:val="20"/>
              </w:rPr>
              <w:t>2,500</w:t>
            </w:r>
          </w:p>
        </w:tc>
        <w:tc>
          <w:tcPr>
            <w:tcW w:w="1045" w:type="dxa"/>
          </w:tcPr>
          <w:p w:rsidR="001E17C4" w:rsidRPr="00711E3C" w:rsidRDefault="001E17C4" w:rsidP="00B9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UNHCR</w:t>
            </w:r>
          </w:p>
        </w:tc>
      </w:tr>
    </w:tbl>
    <w:p w:rsidR="001E17C4" w:rsidRPr="004736A9" w:rsidRDefault="001E17C4" w:rsidP="001E17C4">
      <w:pPr>
        <w:rPr>
          <w:b/>
          <w:sz w:val="18"/>
        </w:rPr>
      </w:pPr>
      <w:r w:rsidRPr="004736A9">
        <w:rPr>
          <w:b/>
          <w:sz w:val="18"/>
        </w:rPr>
        <w:t>Source: CCCM</w:t>
      </w:r>
    </w:p>
    <w:p w:rsidR="001E17C4" w:rsidRPr="00483D9C" w:rsidRDefault="001E17C4" w:rsidP="00483D9C">
      <w:pPr>
        <w:jc w:val="both"/>
        <w:rPr>
          <w:rFonts w:cs="Arial"/>
        </w:rPr>
      </w:pPr>
    </w:p>
    <w:sectPr w:rsidR="001E17C4" w:rsidRPr="00483D9C" w:rsidSect="007A3F26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145" w:rsidRDefault="00636145" w:rsidP="008B122D">
      <w:pPr>
        <w:spacing w:after="0" w:line="240" w:lineRule="auto"/>
      </w:pPr>
      <w:r>
        <w:separator/>
      </w:r>
    </w:p>
  </w:endnote>
  <w:endnote w:type="continuationSeparator" w:id="0">
    <w:p w:rsidR="00636145" w:rsidRDefault="00636145" w:rsidP="008B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010078"/>
      <w:docPartObj>
        <w:docPartGallery w:val="Page Numbers (Bottom of Page)"/>
        <w:docPartUnique/>
      </w:docPartObj>
    </w:sdtPr>
    <w:sdtEndPr>
      <w:rPr>
        <w:color w:val="3F0A0A" w:themeColor="background1" w:themeShade="7F"/>
        <w:spacing w:val="60"/>
        <w:sz w:val="18"/>
      </w:rPr>
    </w:sdtEndPr>
    <w:sdtContent>
      <w:p w:rsidR="009A698B" w:rsidRPr="009A698B" w:rsidRDefault="009A698B">
        <w:pPr>
          <w:pStyle w:val="Footer"/>
          <w:pBdr>
            <w:top w:val="single" w:sz="4" w:space="1" w:color="6B1112" w:themeColor="background1" w:themeShade="D9"/>
          </w:pBdr>
          <w:rPr>
            <w:b/>
            <w:bCs/>
            <w:sz w:val="18"/>
          </w:rPr>
        </w:pPr>
        <w:r w:rsidRPr="009A698B">
          <w:rPr>
            <w:sz w:val="18"/>
          </w:rPr>
          <w:fldChar w:fldCharType="begin"/>
        </w:r>
        <w:r w:rsidRPr="009A698B">
          <w:rPr>
            <w:sz w:val="18"/>
          </w:rPr>
          <w:instrText xml:space="preserve"> PAGE   \* MERGEFORMAT </w:instrText>
        </w:r>
        <w:r w:rsidRPr="009A698B">
          <w:rPr>
            <w:sz w:val="18"/>
          </w:rPr>
          <w:fldChar w:fldCharType="separate"/>
        </w:r>
        <w:r w:rsidR="005347C5" w:rsidRPr="005347C5">
          <w:rPr>
            <w:b/>
            <w:bCs/>
            <w:noProof/>
            <w:sz w:val="18"/>
          </w:rPr>
          <w:t>1</w:t>
        </w:r>
        <w:r w:rsidRPr="009A698B">
          <w:rPr>
            <w:b/>
            <w:bCs/>
            <w:noProof/>
            <w:sz w:val="18"/>
          </w:rPr>
          <w:fldChar w:fldCharType="end"/>
        </w:r>
        <w:r w:rsidRPr="009A698B">
          <w:rPr>
            <w:b/>
            <w:bCs/>
            <w:sz w:val="18"/>
          </w:rPr>
          <w:t xml:space="preserve"> | </w:t>
        </w:r>
        <w:r w:rsidRPr="009A698B">
          <w:rPr>
            <w:color w:val="3F0A0A" w:themeColor="background1" w:themeShade="7F"/>
            <w:spacing w:val="60"/>
            <w:sz w:val="18"/>
          </w:rPr>
          <w:t>Page</w:t>
        </w:r>
      </w:p>
    </w:sdtContent>
  </w:sdt>
  <w:p w:rsidR="009A698B" w:rsidRDefault="009A6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145" w:rsidRDefault="00636145" w:rsidP="008B122D">
      <w:pPr>
        <w:spacing w:after="0" w:line="240" w:lineRule="auto"/>
      </w:pPr>
      <w:r>
        <w:separator/>
      </w:r>
    </w:p>
  </w:footnote>
  <w:footnote w:type="continuationSeparator" w:id="0">
    <w:p w:rsidR="00636145" w:rsidRDefault="00636145" w:rsidP="008B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22D" w:rsidRDefault="008B122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2451100" cy="405765"/>
          <wp:effectExtent l="0" t="0" r="6350" b="0"/>
          <wp:wrapTight wrapText="bothSides">
            <wp:wrapPolygon edited="0">
              <wp:start x="0" y="0"/>
              <wp:lineTo x="0" y="20282"/>
              <wp:lineTo x="21488" y="20282"/>
              <wp:lineTo x="21488" y="0"/>
              <wp:lineTo x="0" y="0"/>
            </wp:wrapPolygon>
          </wp:wrapTight>
          <wp:docPr id="2" name="Picture 2" descr="C:\Users\Admin\AppData\Local\Microsoft\Windows\INetCache\Content.Word\Logo - Iraq Shelter Clu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AppData\Local\Microsoft\Windows\INetCache\Content.Word\Logo - Iraq Shelter Clus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40"/>
                  <a:stretch/>
                </pic:blipFill>
                <pic:spPr bwMode="auto">
                  <a:xfrm>
                    <a:off x="0" y="0"/>
                    <a:ext cx="245110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6C1"/>
    <w:multiLevelType w:val="hybridMultilevel"/>
    <w:tmpl w:val="31C4B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33501"/>
    <w:multiLevelType w:val="hybridMultilevel"/>
    <w:tmpl w:val="5B1C9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B5A19"/>
    <w:multiLevelType w:val="hybridMultilevel"/>
    <w:tmpl w:val="9A0AF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340C4"/>
    <w:multiLevelType w:val="hybridMultilevel"/>
    <w:tmpl w:val="C628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28D0"/>
    <w:multiLevelType w:val="hybridMultilevel"/>
    <w:tmpl w:val="FCAE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6126"/>
    <w:multiLevelType w:val="hybridMultilevel"/>
    <w:tmpl w:val="3A067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7E6B4A"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BAAE33B4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44EC7"/>
    <w:multiLevelType w:val="hybridMultilevel"/>
    <w:tmpl w:val="DDE2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F12B6"/>
    <w:multiLevelType w:val="hybridMultilevel"/>
    <w:tmpl w:val="2308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30AEE"/>
    <w:multiLevelType w:val="hybridMultilevel"/>
    <w:tmpl w:val="1C44E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2D"/>
    <w:rsid w:val="000611A5"/>
    <w:rsid w:val="00110D11"/>
    <w:rsid w:val="00187842"/>
    <w:rsid w:val="001D01EE"/>
    <w:rsid w:val="001E17C4"/>
    <w:rsid w:val="002C3623"/>
    <w:rsid w:val="002D2B1A"/>
    <w:rsid w:val="002F152A"/>
    <w:rsid w:val="002F7B2D"/>
    <w:rsid w:val="00315F75"/>
    <w:rsid w:val="003F4D9C"/>
    <w:rsid w:val="00413842"/>
    <w:rsid w:val="004308B6"/>
    <w:rsid w:val="00483D9C"/>
    <w:rsid w:val="004F038C"/>
    <w:rsid w:val="005347C5"/>
    <w:rsid w:val="00541DAD"/>
    <w:rsid w:val="00635175"/>
    <w:rsid w:val="00636145"/>
    <w:rsid w:val="00647061"/>
    <w:rsid w:val="006643C3"/>
    <w:rsid w:val="007A3F26"/>
    <w:rsid w:val="00822744"/>
    <w:rsid w:val="008B122D"/>
    <w:rsid w:val="0094224A"/>
    <w:rsid w:val="00975FFB"/>
    <w:rsid w:val="009A698B"/>
    <w:rsid w:val="009D113B"/>
    <w:rsid w:val="00A4356C"/>
    <w:rsid w:val="00A64F0A"/>
    <w:rsid w:val="00A73000"/>
    <w:rsid w:val="00A976CE"/>
    <w:rsid w:val="00AB5CBB"/>
    <w:rsid w:val="00AE17F1"/>
    <w:rsid w:val="00AE2621"/>
    <w:rsid w:val="00C069F9"/>
    <w:rsid w:val="00DC6B28"/>
    <w:rsid w:val="00E24436"/>
    <w:rsid w:val="00E441BA"/>
    <w:rsid w:val="00EA222A"/>
    <w:rsid w:val="00E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58C75-2B74-4C50-A68C-FE081A1C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22D"/>
  </w:style>
  <w:style w:type="paragraph" w:styleId="Heading1">
    <w:name w:val="heading 1"/>
    <w:basedOn w:val="Normal"/>
    <w:next w:val="Normal"/>
    <w:link w:val="Heading1Char"/>
    <w:uiPriority w:val="9"/>
    <w:qFormat/>
    <w:rsid w:val="008B12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E00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22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C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2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C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2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C00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2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C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2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E00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2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E00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2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E00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2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E00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2D"/>
  </w:style>
  <w:style w:type="paragraph" w:styleId="Footer">
    <w:name w:val="footer"/>
    <w:basedOn w:val="Normal"/>
    <w:link w:val="FooterChar"/>
    <w:uiPriority w:val="99"/>
    <w:unhideWhenUsed/>
    <w:rsid w:val="008B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2D"/>
  </w:style>
  <w:style w:type="character" w:customStyle="1" w:styleId="Heading2Char">
    <w:name w:val="Heading 2 Char"/>
    <w:basedOn w:val="DefaultParagraphFont"/>
    <w:link w:val="Heading2"/>
    <w:uiPriority w:val="9"/>
    <w:rsid w:val="008B122D"/>
    <w:rPr>
      <w:rFonts w:asciiTheme="majorHAnsi" w:eastAsiaTheme="majorEastAsia" w:hAnsiTheme="majorHAnsi" w:cstheme="majorBidi"/>
      <w:color w:val="BC0000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B122D"/>
    <w:rPr>
      <w:rFonts w:asciiTheme="majorHAnsi" w:eastAsiaTheme="majorEastAsia" w:hAnsiTheme="majorHAnsi" w:cstheme="majorBidi"/>
      <w:color w:val="7E0000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22D"/>
    <w:rPr>
      <w:rFonts w:asciiTheme="majorHAnsi" w:eastAsiaTheme="majorEastAsia" w:hAnsiTheme="majorHAnsi" w:cstheme="majorBidi"/>
      <w:color w:val="BC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22D"/>
    <w:rPr>
      <w:rFonts w:asciiTheme="majorHAnsi" w:eastAsiaTheme="majorEastAsia" w:hAnsiTheme="majorHAnsi" w:cstheme="majorBidi"/>
      <w:color w:val="BC00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22D"/>
    <w:rPr>
      <w:rFonts w:asciiTheme="majorHAnsi" w:eastAsiaTheme="majorEastAsia" w:hAnsiTheme="majorHAnsi" w:cstheme="majorBidi"/>
      <w:caps/>
      <w:color w:val="BC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22D"/>
    <w:rPr>
      <w:rFonts w:asciiTheme="majorHAnsi" w:eastAsiaTheme="majorEastAsia" w:hAnsiTheme="majorHAnsi" w:cstheme="majorBidi"/>
      <w:i/>
      <w:iCs/>
      <w:caps/>
      <w:color w:val="7E00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22D"/>
    <w:rPr>
      <w:rFonts w:asciiTheme="majorHAnsi" w:eastAsiaTheme="majorEastAsia" w:hAnsiTheme="majorHAnsi" w:cstheme="majorBidi"/>
      <w:b/>
      <w:bCs/>
      <w:color w:val="7E00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22D"/>
    <w:rPr>
      <w:rFonts w:asciiTheme="majorHAnsi" w:eastAsiaTheme="majorEastAsia" w:hAnsiTheme="majorHAnsi" w:cstheme="majorBidi"/>
      <w:b/>
      <w:bCs/>
      <w:i/>
      <w:iCs/>
      <w:color w:val="7E00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22D"/>
    <w:rPr>
      <w:rFonts w:asciiTheme="majorHAnsi" w:eastAsiaTheme="majorEastAsia" w:hAnsiTheme="majorHAnsi" w:cstheme="majorBidi"/>
      <w:i/>
      <w:iCs/>
      <w:color w:val="7E00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122D"/>
    <w:pPr>
      <w:spacing w:line="240" w:lineRule="auto"/>
    </w:pPr>
    <w:rPr>
      <w:b/>
      <w:bCs/>
      <w:smallCaps/>
      <w:color w:val="1687C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B122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687C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122D"/>
    <w:rPr>
      <w:rFonts w:asciiTheme="majorHAnsi" w:eastAsiaTheme="majorEastAsia" w:hAnsiTheme="majorHAnsi" w:cstheme="majorBidi"/>
      <w:caps/>
      <w:color w:val="1687CB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22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C00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22D"/>
    <w:rPr>
      <w:rFonts w:asciiTheme="majorHAnsi" w:eastAsiaTheme="majorEastAsia" w:hAnsiTheme="majorHAnsi" w:cstheme="majorBidi"/>
      <w:color w:val="FC00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B122D"/>
    <w:rPr>
      <w:b/>
      <w:bCs/>
    </w:rPr>
  </w:style>
  <w:style w:type="character" w:styleId="Emphasis">
    <w:name w:val="Emphasis"/>
    <w:basedOn w:val="DefaultParagraphFont"/>
    <w:uiPriority w:val="20"/>
    <w:qFormat/>
    <w:rsid w:val="008B122D"/>
    <w:rPr>
      <w:i/>
      <w:iCs/>
    </w:rPr>
  </w:style>
  <w:style w:type="paragraph" w:styleId="NoSpacing">
    <w:name w:val="No Spacing"/>
    <w:uiPriority w:val="1"/>
    <w:qFormat/>
    <w:rsid w:val="008B12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122D"/>
    <w:pPr>
      <w:spacing w:before="120" w:after="120"/>
      <w:ind w:left="720"/>
    </w:pPr>
    <w:rPr>
      <w:color w:val="1687C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B122D"/>
    <w:rPr>
      <w:color w:val="1687C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22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687C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22D"/>
    <w:rPr>
      <w:rFonts w:asciiTheme="majorHAnsi" w:eastAsiaTheme="majorEastAsia" w:hAnsiTheme="majorHAnsi" w:cstheme="majorBidi"/>
      <w:color w:val="1687C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B122D"/>
    <w:rPr>
      <w:i/>
      <w:iCs/>
      <w:color w:val="FF575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B12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B122D"/>
    <w:rPr>
      <w:smallCaps/>
      <w:color w:val="FF5757" w:themeColor="text1" w:themeTint="A6"/>
      <w:u w:val="none" w:color="FF7D7D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B122D"/>
    <w:rPr>
      <w:b/>
      <w:bCs/>
      <w:smallCaps/>
      <w:color w:val="1687C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B122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22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8B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2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E2621"/>
    <w:pPr>
      <w:spacing w:after="0" w:line="240" w:lineRule="auto"/>
    </w:pPr>
    <w:tblPr>
      <w:tblStyleRowBandSize w:val="1"/>
      <w:tblStyleColBandSize w:val="1"/>
      <w:tblBorders>
        <w:top w:val="single" w:sz="4" w:space="0" w:color="FF7D7D" w:themeColor="text1" w:themeTint="80"/>
        <w:bottom w:val="single" w:sz="4" w:space="0" w:color="FF7D7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F7D7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7D7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7D7D" w:themeColor="text1" w:themeTint="80"/>
          <w:right w:val="single" w:sz="4" w:space="0" w:color="FF7D7D" w:themeColor="text1" w:themeTint="80"/>
        </w:tcBorders>
      </w:tcPr>
    </w:tblStylePr>
    <w:tblStylePr w:type="band2Vert">
      <w:tblPr/>
      <w:tcPr>
        <w:tcBorders>
          <w:left w:val="single" w:sz="4" w:space="0" w:color="FF7D7D" w:themeColor="text1" w:themeTint="80"/>
          <w:right w:val="single" w:sz="4" w:space="0" w:color="FF7D7D" w:themeColor="text1" w:themeTint="80"/>
        </w:tcBorders>
      </w:tcPr>
    </w:tblStylePr>
    <w:tblStylePr w:type="band1Horz">
      <w:tblPr/>
      <w:tcPr>
        <w:tcBorders>
          <w:top w:val="single" w:sz="4" w:space="0" w:color="FF7D7D" w:themeColor="text1" w:themeTint="80"/>
          <w:bottom w:val="single" w:sz="4" w:space="0" w:color="FF7D7D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1D01E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E17C4"/>
    <w:pPr>
      <w:spacing w:after="0" w:line="240" w:lineRule="auto"/>
    </w:pPr>
    <w:rPr>
      <w:rFonts w:eastAsiaTheme="minorHAnsi"/>
    </w:rPr>
    <w:tblPr>
      <w:tblBorders>
        <w:top w:val="single" w:sz="4" w:space="0" w:color="5F0F10" w:themeColor="background1" w:themeShade="BF"/>
        <w:left w:val="single" w:sz="4" w:space="0" w:color="5F0F10" w:themeColor="background1" w:themeShade="BF"/>
        <w:bottom w:val="single" w:sz="4" w:space="0" w:color="5F0F10" w:themeColor="background1" w:themeShade="BF"/>
        <w:right w:val="single" w:sz="4" w:space="0" w:color="5F0F10" w:themeColor="background1" w:themeShade="BF"/>
        <w:insideH w:val="single" w:sz="4" w:space="0" w:color="5F0F10" w:themeColor="background1" w:themeShade="BF"/>
        <w:insideV w:val="single" w:sz="4" w:space="0" w:color="5F0F10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helter Cluster">
      <a:dk1>
        <a:srgbClr val="FC0000"/>
      </a:dk1>
      <a:lt1>
        <a:srgbClr val="7F1416"/>
      </a:lt1>
      <a:dk2>
        <a:srgbClr val="1687CB"/>
      </a:dk2>
      <a:lt2>
        <a:srgbClr val="04314C"/>
      </a:lt2>
      <a:accent1>
        <a:srgbClr val="FC0000"/>
      </a:accent1>
      <a:accent2>
        <a:srgbClr val="7F1416"/>
      </a:accent2>
      <a:accent3>
        <a:srgbClr val="65B630"/>
      </a:accent3>
      <a:accent4>
        <a:srgbClr val="04314C"/>
      </a:accent4>
      <a:accent5>
        <a:srgbClr val="1687CB"/>
      </a:accent5>
      <a:accent6>
        <a:srgbClr val="FFB1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 Qahoush</dc:creator>
  <cp:keywords/>
  <dc:description/>
  <cp:lastModifiedBy>Richard Evans</cp:lastModifiedBy>
  <cp:revision>2</cp:revision>
  <cp:lastPrinted>2017-03-02T12:35:00Z</cp:lastPrinted>
  <dcterms:created xsi:type="dcterms:W3CDTF">2018-07-09T15:12:00Z</dcterms:created>
  <dcterms:modified xsi:type="dcterms:W3CDTF">2018-07-09T15:12:00Z</dcterms:modified>
</cp:coreProperties>
</file>