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AB" w:rsidRPr="00B40884" w:rsidRDefault="00CD0CAB" w:rsidP="00CD0CAB">
      <w:pPr>
        <w:shd w:val="clear" w:color="auto" w:fill="95B3D7" w:themeFill="accent1" w:themeFillTint="99"/>
        <w:spacing w:after="60"/>
        <w:rPr>
          <w:b/>
          <w:sz w:val="40"/>
          <w:szCs w:val="40"/>
          <w:lang w:val="ru-RU"/>
        </w:rPr>
      </w:pPr>
    </w:p>
    <w:p w:rsidR="0079028D" w:rsidRPr="00B40884" w:rsidRDefault="0079028D" w:rsidP="00CD0CAB">
      <w:pPr>
        <w:shd w:val="clear" w:color="auto" w:fill="95B3D7" w:themeFill="accent1" w:themeFillTint="99"/>
        <w:spacing w:after="0"/>
        <w:rPr>
          <w:b/>
          <w:sz w:val="52"/>
          <w:szCs w:val="52"/>
          <w:lang w:val="ru-RU"/>
        </w:rPr>
      </w:pPr>
      <w:r w:rsidRPr="00B40884">
        <w:rPr>
          <w:b/>
          <w:sz w:val="52"/>
          <w:szCs w:val="52"/>
          <w:lang w:val="ru-RU"/>
        </w:rPr>
        <w:t>Программы предоставления защиты</w:t>
      </w:r>
    </w:p>
    <w:p w:rsidR="0079028D" w:rsidRPr="00B40884" w:rsidRDefault="0079028D" w:rsidP="0079028D">
      <w:pPr>
        <w:shd w:val="clear" w:color="auto" w:fill="95B3D7" w:themeFill="accent1" w:themeFillTint="99"/>
        <w:spacing w:after="0"/>
        <w:rPr>
          <w:b/>
          <w:sz w:val="40"/>
          <w:szCs w:val="40"/>
          <w:lang w:val="ru-RU"/>
        </w:rPr>
      </w:pPr>
      <w:r w:rsidRPr="00B40884">
        <w:rPr>
          <w:b/>
          <w:sz w:val="40"/>
          <w:lang w:val="ru-RU"/>
        </w:rPr>
        <w:t>Советы по активизации защиты</w:t>
      </w:r>
    </w:p>
    <w:p w:rsidR="0079028D" w:rsidRPr="00B40884" w:rsidRDefault="0079028D" w:rsidP="0079028D">
      <w:pPr>
        <w:shd w:val="clear" w:color="auto" w:fill="95B3D7" w:themeFill="accent1" w:themeFillTint="99"/>
        <w:spacing w:after="60"/>
        <w:rPr>
          <w:b/>
          <w:sz w:val="18"/>
          <w:szCs w:val="18"/>
          <w:lang w:val="ru-RU"/>
        </w:rPr>
      </w:pPr>
      <w:r w:rsidRPr="00B40884">
        <w:rPr>
          <w:b/>
          <w:sz w:val="18"/>
          <w:lang w:val="ru-RU"/>
        </w:rPr>
        <w:t xml:space="preserve">Редакция </w:t>
      </w:r>
      <w:r w:rsidRPr="00B40884">
        <w:rPr>
          <w:b/>
          <w:sz w:val="18"/>
          <w:szCs w:val="18"/>
          <w:lang w:val="ru-RU"/>
        </w:rPr>
        <w:t>1 (май 2014)</w:t>
      </w:r>
    </w:p>
    <w:p w:rsidR="00CD0CAB" w:rsidRPr="00B40884" w:rsidRDefault="00CD0CAB" w:rsidP="00CD0CAB">
      <w:pPr>
        <w:pStyle w:val="Body"/>
        <w:tabs>
          <w:tab w:val="left" w:pos="288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val="ru-RU"/>
        </w:rPr>
      </w:pPr>
    </w:p>
    <w:tbl>
      <w:tblPr>
        <w:tblStyle w:val="TableGrid"/>
        <w:tblpPr w:leftFromText="180" w:rightFromText="180" w:vertAnchor="text" w:horzAnchor="margin" w:tblpXSpec="center" w:tblpY="4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D0CAB" w:rsidRPr="005B77A8" w:rsidTr="000F1DBB">
        <w:tc>
          <w:tcPr>
            <w:tcW w:w="9576" w:type="dxa"/>
          </w:tcPr>
          <w:p w:rsidR="0079028D" w:rsidRPr="00B40884" w:rsidRDefault="0079028D" w:rsidP="0079028D">
            <w:pPr>
              <w:spacing w:before="60" w:after="60"/>
              <w:rPr>
                <w:sz w:val="20"/>
                <w:szCs w:val="20"/>
                <w:lang w:val="ru-RU"/>
              </w:rPr>
            </w:pPr>
            <w:r w:rsidRPr="00B40884">
              <w:rPr>
                <w:sz w:val="20"/>
                <w:szCs w:val="20"/>
                <w:lang w:val="ru-RU"/>
              </w:rPr>
              <w:t>Содержание данного документа в основном взято из следующих источников:</w:t>
            </w:r>
          </w:p>
          <w:p w:rsidR="0079028D" w:rsidRPr="00B40884" w:rsidRDefault="006E0734" w:rsidP="0079028D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8">
              <w:r w:rsidR="0079028D" w:rsidRPr="00B40884">
                <w:rPr>
                  <w:rStyle w:val="Hyperlink"/>
                  <w:sz w:val="20"/>
                  <w:lang w:val="ru-RU"/>
                </w:rPr>
                <w:t>Минимальные межведомственные стандарты по активизации защиты (WVI)</w:t>
              </w:r>
            </w:hyperlink>
          </w:p>
          <w:p w:rsidR="0079028D" w:rsidRPr="00B40884" w:rsidRDefault="006E0734" w:rsidP="0079028D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9">
              <w:r w:rsidR="0079028D" w:rsidRPr="00B40884">
                <w:rPr>
                  <w:rStyle w:val="Hyperlink"/>
                  <w:sz w:val="20"/>
                  <w:lang w:val="ru-RU"/>
                </w:rPr>
                <w:t>Инвалидность среди беженцев и населения, пострадавшего во время конфликта: комплект ресурсов для работы на местах (WRC)</w:t>
              </w:r>
            </w:hyperlink>
          </w:p>
          <w:p w:rsidR="0079028D" w:rsidRPr="00B40884" w:rsidRDefault="006E0734" w:rsidP="0079028D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0">
              <w:r w:rsidR="0079028D" w:rsidRPr="00B40884">
                <w:rPr>
                  <w:rStyle w:val="Hyperlink"/>
                  <w:sz w:val="20"/>
                  <w:lang w:val="ru-RU"/>
                </w:rPr>
                <w:t>Минимальные стандарты защиты детей во время гуманитарных акций (CPWG)</w:t>
              </w:r>
            </w:hyperlink>
          </w:p>
          <w:p w:rsidR="0079028D" w:rsidRPr="00B40884" w:rsidRDefault="006E0734" w:rsidP="0079028D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1">
              <w:r w:rsidR="0079028D" w:rsidRPr="00B40884">
                <w:rPr>
                  <w:rStyle w:val="Hyperlink"/>
                  <w:sz w:val="20"/>
                  <w:lang w:val="ru-RU"/>
                </w:rPr>
                <w:t>Руководство по борьбе с гендерным насилием (IASC)</w:t>
              </w:r>
            </w:hyperlink>
          </w:p>
          <w:p w:rsidR="00CD0CAB" w:rsidRPr="00B40884" w:rsidRDefault="006E0734" w:rsidP="0079028D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  <w:lang w:val="ru-RU"/>
              </w:rPr>
            </w:pPr>
            <w:hyperlink r:id="rId12">
              <w:r w:rsidR="0079028D" w:rsidRPr="00B40884">
                <w:rPr>
                  <w:rStyle w:val="Hyperlink"/>
                  <w:sz w:val="20"/>
                  <w:lang w:val="ru-RU"/>
                </w:rPr>
                <w:t>Гуманитарная хартия и минимальные стандарты гуманитарного реагирования (Проект «СФЕРА»)</w:t>
              </w:r>
            </w:hyperlink>
          </w:p>
        </w:tc>
      </w:tr>
    </w:tbl>
    <w:p w:rsidR="00CD0CAB" w:rsidRPr="00B40884" w:rsidRDefault="00CD0CAB" w:rsidP="00CD0CAB">
      <w:pPr>
        <w:spacing w:before="240" w:after="0"/>
        <w:jc w:val="both"/>
        <w:rPr>
          <w:lang w:val="ru-RU"/>
        </w:rPr>
      </w:pPr>
    </w:p>
    <w:p w:rsidR="00CD0CAB" w:rsidRPr="00B40884" w:rsidRDefault="00CD0CAB" w:rsidP="00CD0CAB">
      <w:pPr>
        <w:spacing w:before="240" w:after="0"/>
        <w:jc w:val="both"/>
        <w:rPr>
          <w:lang w:val="ru-RU"/>
        </w:rPr>
      </w:pPr>
    </w:p>
    <w:p w:rsidR="00CD0CAB" w:rsidRPr="00B40884" w:rsidRDefault="00CD0CAB" w:rsidP="00CD0CAB">
      <w:pPr>
        <w:spacing w:before="240"/>
        <w:jc w:val="both"/>
        <w:rPr>
          <w:lang w:val="ru-RU"/>
        </w:rPr>
      </w:pPr>
    </w:p>
    <w:p w:rsidR="0079028D" w:rsidRPr="00B40884" w:rsidRDefault="0079028D" w:rsidP="0079028D">
      <w:pPr>
        <w:jc w:val="both"/>
        <w:rPr>
          <w:lang w:val="ru-RU"/>
        </w:rPr>
      </w:pPr>
      <w:r w:rsidRPr="00B40884">
        <w:rPr>
          <w:lang w:val="ru-RU"/>
        </w:rPr>
        <w:t xml:space="preserve">Данный документ разделен на три части, представляющие четыре ключевых элемента активизации защиты. Содержащаяся в нем информация не исчерпывающая, но предоставляет примеры ключевых действий, которые следует предпринять для обеспечения интеграции принципов защиты </w:t>
      </w:r>
      <w:r w:rsidRPr="00B40884">
        <w:rPr>
          <w:i/>
          <w:lang w:val="ru-RU"/>
        </w:rPr>
        <w:t>во время предоставления гуманитарной помощи</w:t>
      </w:r>
      <w:r w:rsidRPr="00B40884">
        <w:rPr>
          <w:lang w:val="ru-RU"/>
        </w:rPr>
        <w:t>.</w:t>
      </w:r>
    </w:p>
    <w:p w:rsidR="0079028D" w:rsidRPr="00B40884" w:rsidRDefault="0079028D" w:rsidP="0079028D">
      <w:pPr>
        <w:spacing w:before="120" w:after="120"/>
        <w:jc w:val="both"/>
        <w:rPr>
          <w:lang w:val="ru-RU"/>
        </w:rPr>
      </w:pPr>
      <w:r w:rsidRPr="00B40884">
        <w:rPr>
          <w:lang w:val="ru-RU"/>
        </w:rPr>
        <w:t>Несмотря на то, что каждое описанное действие следует тщательно продумывать во время выполнения, существуют некоторые ключевые действия, которым следует уделить особое внимания в чрезвычайных ситуациях и на стадии оценки/разработки проекта. Эти действия обозначены следующими кодовыми символами:</w:t>
      </w:r>
    </w:p>
    <w:p w:rsidR="0079028D" w:rsidRPr="00B40884" w:rsidRDefault="0079028D" w:rsidP="0079028D">
      <w:pPr>
        <w:pStyle w:val="ListParagraph"/>
        <w:numPr>
          <w:ilvl w:val="0"/>
          <w:numId w:val="8"/>
        </w:numPr>
        <w:rPr>
          <w:rFonts w:ascii="Calibri" w:hAnsi="Calibri" w:cs="Calibri"/>
          <w:sz w:val="20"/>
          <w:szCs w:val="20"/>
          <w:lang w:val="ru-RU"/>
        </w:rPr>
      </w:pPr>
      <w:r w:rsidRPr="00B40884">
        <w:rPr>
          <w:noProof/>
        </w:rPr>
        <w:drawing>
          <wp:anchor distT="0" distB="0" distL="114300" distR="114300" simplePos="0" relativeHeight="251666432" behindDoc="0" locked="0" layoutInCell="1" allowOverlap="1" wp14:anchorId="3865A6A1" wp14:editId="2EB645A2">
            <wp:simplePos x="0" y="0"/>
            <wp:positionH relativeFrom="column">
              <wp:posOffset>1986280</wp:posOffset>
            </wp:positionH>
            <wp:positionV relativeFrom="paragraph">
              <wp:posOffset>635</wp:posOffset>
            </wp:positionV>
            <wp:extent cx="219075" cy="142875"/>
            <wp:effectExtent l="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0884">
        <w:rPr>
          <w:rFonts w:ascii="Calibri" w:hAnsi="Calibri" w:cs="Calibri"/>
          <w:sz w:val="20"/>
          <w:szCs w:val="20"/>
          <w:lang w:val="ru-RU"/>
        </w:rPr>
        <w:t>Чрезвычайные ситуации</w:t>
      </w:r>
    </w:p>
    <w:p w:rsidR="0079028D" w:rsidRPr="00B40884" w:rsidRDefault="0079028D" w:rsidP="0079028D">
      <w:pPr>
        <w:pStyle w:val="ListParagraph"/>
        <w:numPr>
          <w:ilvl w:val="0"/>
          <w:numId w:val="8"/>
        </w:numPr>
        <w:spacing w:after="0"/>
        <w:jc w:val="both"/>
        <w:rPr>
          <w:rFonts w:ascii="Calibri" w:hAnsi="Calibri" w:cs="Calibri"/>
          <w:sz w:val="20"/>
          <w:szCs w:val="20"/>
          <w:lang w:val="ru-RU"/>
        </w:rPr>
      </w:pPr>
      <w:r w:rsidRPr="00B40884">
        <w:rPr>
          <w:noProof/>
        </w:rPr>
        <w:drawing>
          <wp:anchor distT="0" distB="0" distL="114300" distR="114300" simplePos="0" relativeHeight="251665408" behindDoc="0" locked="0" layoutInCell="1" allowOverlap="1" wp14:anchorId="219A14D8" wp14:editId="2F1E76C4">
            <wp:simplePos x="0" y="0"/>
            <wp:positionH relativeFrom="column">
              <wp:posOffset>2433955</wp:posOffset>
            </wp:positionH>
            <wp:positionV relativeFrom="paragraph">
              <wp:posOffset>5715</wp:posOffset>
            </wp:positionV>
            <wp:extent cx="187325" cy="190500"/>
            <wp:effectExtent l="0" t="0" r="0" b="0"/>
            <wp:wrapNone/>
            <wp:docPr id="2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0884">
        <w:rPr>
          <w:rFonts w:ascii="Calibri" w:hAnsi="Calibri" w:cs="Calibri"/>
          <w:sz w:val="20"/>
          <w:szCs w:val="20"/>
          <w:lang w:val="ru-RU"/>
        </w:rPr>
        <w:t>Этап оценки и разработки проекта</w:t>
      </w:r>
    </w:p>
    <w:p w:rsidR="0079028D" w:rsidRPr="00B40884" w:rsidRDefault="0079028D" w:rsidP="0079028D">
      <w:pPr>
        <w:spacing w:before="120" w:after="120"/>
        <w:jc w:val="both"/>
        <w:rPr>
          <w:lang w:val="ru-RU"/>
        </w:rPr>
      </w:pPr>
      <w:r w:rsidRPr="00B40884">
        <w:rPr>
          <w:noProof/>
        </w:rPr>
        <w:drawing>
          <wp:anchor distT="0" distB="0" distL="114300" distR="114300" simplePos="0" relativeHeight="251667456" behindDoc="0" locked="0" layoutInCell="1" allowOverlap="1" wp14:anchorId="3EBEFDF1" wp14:editId="4020DDFE">
            <wp:simplePos x="0" y="0"/>
            <wp:positionH relativeFrom="column">
              <wp:posOffset>4551006</wp:posOffset>
            </wp:positionH>
            <wp:positionV relativeFrom="paragraph">
              <wp:posOffset>255270</wp:posOffset>
            </wp:positionV>
            <wp:extent cx="163830" cy="166977"/>
            <wp:effectExtent l="0" t="0" r="0" b="0"/>
            <wp:wrapNone/>
            <wp:docPr id="4" name="Picture 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0884">
        <w:rPr>
          <w:lang w:val="ru-RU" w:eastAsia="ru-RU"/>
        </w:rPr>
        <w:t xml:space="preserve">Некоторые </w:t>
      </w:r>
      <w:r w:rsidR="005B77A8">
        <w:rPr>
          <w:lang w:val="ru-RU" w:eastAsia="ru-RU"/>
        </w:rPr>
        <w:t>активности</w:t>
      </w:r>
      <w:r w:rsidRPr="00B40884">
        <w:rPr>
          <w:lang w:val="ru-RU" w:eastAsia="ru-RU"/>
        </w:rPr>
        <w:t xml:space="preserve"> являются </w:t>
      </w:r>
      <w:r w:rsidR="005B77A8">
        <w:rPr>
          <w:lang w:val="ru-RU" w:eastAsia="ru-RU"/>
        </w:rPr>
        <w:t>деликатными</w:t>
      </w:r>
      <w:r w:rsidRPr="00B40884">
        <w:rPr>
          <w:lang w:val="ru-RU" w:eastAsia="ru-RU"/>
        </w:rPr>
        <w:t xml:space="preserve"> по своей природе. В таких случаях рекомендуется обратиться </w:t>
      </w:r>
      <w:r w:rsidR="00B40884" w:rsidRPr="00B40884">
        <w:rPr>
          <w:lang w:val="ru-RU" w:eastAsia="ru-RU"/>
        </w:rPr>
        <w:t>к</w:t>
      </w:r>
      <w:r w:rsidR="00B40884">
        <w:rPr>
          <w:lang w:val="ru-RU" w:eastAsia="ru-RU"/>
        </w:rPr>
        <w:t> </w:t>
      </w:r>
      <w:r w:rsidRPr="00B40884">
        <w:rPr>
          <w:lang w:val="ru-RU" w:eastAsia="ru-RU"/>
        </w:rPr>
        <w:t xml:space="preserve">специалисту по защите. Эти </w:t>
      </w:r>
      <w:r w:rsidR="005B77A8">
        <w:rPr>
          <w:lang w:val="ru-RU" w:eastAsia="ru-RU"/>
        </w:rPr>
        <w:t>активности</w:t>
      </w:r>
      <w:r w:rsidRPr="00B40884">
        <w:rPr>
          <w:lang w:val="ru-RU" w:eastAsia="ru-RU"/>
        </w:rPr>
        <w:t xml:space="preserve"> обозначены следующим символом</w:t>
      </w:r>
      <w:r w:rsidRPr="00B40884">
        <w:rPr>
          <w:lang w:val="ru-RU"/>
        </w:rPr>
        <w:t>:</w:t>
      </w:r>
    </w:p>
    <w:p w:rsidR="0079028D" w:rsidRPr="00B40884" w:rsidRDefault="0079028D" w:rsidP="0079028D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B40884">
        <w:rPr>
          <w:b/>
          <w:lang w:val="ru-RU"/>
        </w:rPr>
        <w:t>Приоритет безопасности и сохранения достоинства, избежание вреда</w:t>
      </w:r>
    </w:p>
    <w:p w:rsidR="001D0400" w:rsidRPr="00B40884" w:rsidRDefault="002A04A4" w:rsidP="002A04A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Убедитесь, что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местоположение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учреждений и пути к ним находятся вдали от угроз насилия; особенно риска или угрозы гендерного насилия (ГН) </w:t>
      </w:r>
      <w:r w:rsidR="00B40884">
        <w:rPr>
          <w:rFonts w:ascii="Calibri" w:hAnsi="Calibri" w:cs="Calibri"/>
          <w:sz w:val="22"/>
          <w:szCs w:val="22"/>
          <w:lang w:val="ru-RU"/>
        </w:rPr>
        <w:t>либо</w:t>
      </w:r>
      <w:r w:rsidR="00B40884" w:rsidRPr="00B40884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B40884">
        <w:rPr>
          <w:rFonts w:ascii="Calibri" w:hAnsi="Calibri" w:cs="Calibri"/>
          <w:sz w:val="22"/>
          <w:szCs w:val="22"/>
          <w:lang w:val="ru-RU"/>
        </w:rPr>
        <w:t>нападений вооруженных группирований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1D0400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1D0400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2A04A4" w:rsidRPr="00B40884" w:rsidRDefault="002A04A4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Разговаривайте с различными группами членов 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сообщества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отдельно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определения/нанесения на карту безопасных и опасных участков (пожилые мужчины, пожилые женщины, взрослые мужчины, взрослые женщины, юноши подросткового возраста, девушки подросткового возраста, мальчики, девочки, мужчины с ограниченными возможностями, женщины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ограниченными возможностями</w:t>
            </w:r>
            <w:r w:rsidR="00703A1E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, меньшинства)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703A1E" w:rsidRPr="00B40884" w:rsidRDefault="00703A1E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Убедитесь в организации освещения вдоль пути для минимизации рисков в темное время суток. Приложите все возможные усилия для освещения и/или защиты небезопасных участков и путей. Примеры могут включать установление освещения, распределение фонариков, включение системы взаимопомощи,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поддержк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общественной вахты или персонала службы безопасности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постоянного контроля участков.</w:t>
            </w:r>
          </w:p>
          <w:p w:rsidR="00703A1E" w:rsidRPr="00B40884" w:rsidRDefault="00703A1E" w:rsidP="00703A1E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 располагайте учреждения вблизи от возможного местоположения преступников. </w:t>
            </w:r>
            <w:r w:rsidRPr="00B40884">
              <w:rPr>
                <w:rFonts w:ascii="Calibri" w:hAnsi="Calibri" w:cs="Calibri"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Обратите внимание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: Полиция и вооруженные силы часто воспринимаются как преступники или нарушители. От местоположения зависит, будут ли они вызывать чувство спокойствия, или наоборот, создавать атмосферу страха. Важно провести консультации с общиной и потенциальными получателями помощи относительно их предпочтений.</w:t>
            </w:r>
          </w:p>
          <w:p w:rsidR="00440C4D" w:rsidRPr="00B40884" w:rsidRDefault="00703A1E" w:rsidP="00703A1E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 случае необходимости организуйте соответствующую полицейскую охрану общественного порядка</w:t>
            </w:r>
            <w:r w:rsidRPr="00B40884">
              <w:rPr>
                <w:rFonts w:ascii="Calibri" w:hAnsi="Calibri" w:cs="Calibri"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0400" w:rsidRPr="00B40884" w:rsidRDefault="001D0400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306163" w:rsidRPr="00B40884" w:rsidRDefault="00703A1E" w:rsidP="00703A1E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Создайте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инфраструктурные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приспособления, такие как пандусы и перила</w:t>
      </w:r>
      <w:r w:rsidR="00006CB3" w:rsidRPr="00B40884">
        <w:rPr>
          <w:rFonts w:ascii="Calibri" w:hAnsi="Calibri" w:cs="Calibri"/>
          <w:sz w:val="22"/>
          <w:szCs w:val="22"/>
          <w:lang w:val="ru-RU"/>
        </w:rPr>
        <w:t>,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возле учреждений, чтобы отдельные лица и группы могли иметь доступ и пользоваться учреждениями безопасно и с сохранением </w:t>
      </w:r>
      <w:r w:rsidR="00B40884">
        <w:rPr>
          <w:rFonts w:ascii="Calibri" w:hAnsi="Calibri" w:cs="Calibri"/>
          <w:sz w:val="22"/>
          <w:szCs w:val="22"/>
          <w:lang w:val="ru-RU"/>
        </w:rPr>
        <w:t xml:space="preserve">их </w:t>
      </w:r>
      <w:r w:rsidRPr="00B40884">
        <w:rPr>
          <w:rFonts w:ascii="Calibri" w:hAnsi="Calibri" w:cs="Calibri"/>
          <w:sz w:val="22"/>
          <w:szCs w:val="22"/>
          <w:lang w:val="ru-RU"/>
        </w:rPr>
        <w:t>достоинства.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06163" w:rsidRPr="005B77A8" w:rsidTr="00506673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06163" w:rsidRPr="00B40884" w:rsidRDefault="002A04A4" w:rsidP="00506673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06163" w:rsidRPr="00B40884" w:rsidRDefault="00703A1E" w:rsidP="00703A1E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Используйте непосредственные наблюдения и дискуссионные группы с лицами с ограниченными возможностями в сообществе для определения типов необходимых приспособлений.</w:t>
            </w:r>
          </w:p>
        </w:tc>
      </w:tr>
    </w:tbl>
    <w:p w:rsidR="008E233D" w:rsidRPr="00B40884" w:rsidRDefault="008E233D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8E233D" w:rsidRPr="00B40884" w:rsidRDefault="00D83C29" w:rsidP="00D83C29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 в соблюдении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конфиденциальности и приватности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при любой форме консультации, рекомендаций или предоставления личной информации.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8E233D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8E233D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B40884"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8E233D" w:rsidRPr="00B40884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Обеспечьте отделение кабинетов от общественных мест или зон ожидания.</w:t>
            </w:r>
          </w:p>
          <w:p w:rsidR="00D83C29" w:rsidRPr="00B40884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 случае отсутствия возможности обеспечения отдельных кабинетов рассмотрите возможность установления стенки или, по крайней мере, занавески.</w:t>
            </w:r>
          </w:p>
          <w:p w:rsidR="008E233D" w:rsidRPr="00B40884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Убедитесь, что протокол предоставления информации составлен таким образом, чтобы человек, который испытал насилие, не был вынужден снова повторять свою историю, что может потенциально подвергнуть его дальнейшей травме.</w:t>
            </w:r>
          </w:p>
          <w:p w:rsidR="00D83C29" w:rsidRPr="00B40884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 собирайте информацию, которая не является необходимой для содействия благополучию человека.</w:t>
            </w:r>
          </w:p>
          <w:p w:rsidR="00D83C29" w:rsidRPr="00E50B8A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Обсуждайте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с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женщинами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детьми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нормы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приватности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в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общих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укрытиях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уборных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местах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для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купания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т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д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673DFB" w:rsidRPr="00B40884" w:rsidRDefault="00D83C29" w:rsidP="008B7A42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219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Выступите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за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установление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или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установите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разделительные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стенки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двери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Theme="minorHAnsi" w:hAnsiTheme="minorHAnsi" w:cs="Calibri" w:hint="cs"/>
                <w:color w:val="auto"/>
                <w:sz w:val="20"/>
                <w:szCs w:val="20"/>
                <w:lang w:val="ru-RU"/>
              </w:rPr>
              <w:t>замки</w:t>
            </w:r>
            <w:r w:rsidRPr="00E50B8A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FC4514" w:rsidRPr="00B40884" w:rsidRDefault="00FC4514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0"/>
          <w:szCs w:val="20"/>
          <w:lang w:val="ru-RU"/>
        </w:rPr>
      </w:pPr>
    </w:p>
    <w:p w:rsidR="008B7A42" w:rsidRPr="00B40884" w:rsidRDefault="008B7A42" w:rsidP="008B7A42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Не распространяйте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данные, позволяющие установить личность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(например, имена, адреса или черты и характеристики о случае, которые могут привести к установлению личности,</w:t>
      </w:r>
      <w:r w:rsid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и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т.</w:t>
      </w:r>
      <w:r w:rsid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 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д.) без согласия лица, получающего помощь.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761639" w:rsidRPr="005B77A8" w:rsidTr="00761639">
        <w:trPr>
          <w:trHeight w:val="1637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761639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8B7A42" w:rsidRPr="00B40884" w:rsidRDefault="008B7A42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При запросе на получение согласия на сбор и использование данных убедитесь, что получатель помощи был четко проинформирован обо всех услугах и имеет правоспособность давать согласие (например, дети или лица с ограниченными умственными способностями могут давать согласие 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без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полного понимания наличия правоспособности на это)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761639" w:rsidRPr="00B40884" w:rsidRDefault="008B7A42" w:rsidP="009117D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 в безопасности хранения данных и в том, что планы действий в чрезвычайных ситуациях находятся на месте, чтобы обезопасить, переместить или уничтожить данные в случае необходимости эвакуации из области.</w:t>
            </w:r>
          </w:p>
        </w:tc>
      </w:tr>
    </w:tbl>
    <w:p w:rsidR="00761639" w:rsidRPr="00B40884" w:rsidRDefault="00761639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F61007" w:rsidRPr="00B40884" w:rsidRDefault="00F61007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 xml:space="preserve">Убедитесь, что в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персонал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, которые принимает и предоставляет консультации жертвам насилия, входят только квалифицированные психосоциальные работники, особенно в случаях работы с детьми и/или жертвами ГН.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874B96" w:rsidRPr="005B77A8" w:rsidTr="00F401B5">
        <w:trPr>
          <w:trHeight w:val="1637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874B96" w:rsidRPr="00B40884" w:rsidRDefault="002A04A4" w:rsidP="00F401B5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D22E39" w:rsidRPr="00B40884" w:rsidRDefault="00F6100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 случае работы с детьми убедитесь, что в персонал входят обученные детские консультанты,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которым можно беспрепятственно обратиться.</w:t>
            </w:r>
          </w:p>
          <w:p w:rsidR="00874B96" w:rsidRPr="00B40884" w:rsidRDefault="00F61007" w:rsidP="00F6100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персонал проинформирован и может беспрепятственно обратиться к персоналу или другим поставщикам услуг, которые специально обучены предоставлению консультаций и поддержки жертвам ГН.</w:t>
            </w:r>
          </w:p>
        </w:tc>
      </w:tr>
    </w:tbl>
    <w:p w:rsidR="00ED592E" w:rsidRPr="00B40884" w:rsidRDefault="00ED592E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ED592E" w:rsidRPr="00B40884" w:rsidRDefault="007629E7" w:rsidP="007629E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 xml:space="preserve">Убедитесь в наличии различных сотрудников (мужчин, женщин, представителей меньшинств), которые </w:t>
      </w:r>
      <w:r w:rsidR="00B40884"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по</w:t>
      </w:r>
      <w:r w:rsid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 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собственному опыту знают гендерные и культурные особенности).</w:t>
      </w:r>
    </w:p>
    <w:p w:rsidR="006B55E7" w:rsidRPr="00B40884" w:rsidRDefault="006B55E7" w:rsidP="0007478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В случае распределения непродовольственных товаров или призов во время проведения ознакомительных занятий убедитесь, что стоимость товаров не создает напряжения и не увеличивает риск для получателей (например, толкание для получения приза, воровство призов после события</w:t>
      </w:r>
      <w:r w:rsid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 xml:space="preserve"> и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 xml:space="preserve"> т.</w:t>
      </w:r>
      <w:r w:rsid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 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д.). Уделите особое внимание уязвимым группам, таким как женщины, пожилые люди или дети.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FC4514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FC4514" w:rsidRPr="00E50B8A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6B55E7" w:rsidRPr="00B40884" w:rsidRDefault="006B55E7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lastRenderedPageBreak/>
              <w:t>В случае распределения ценных подарков рассмотрите</w:t>
            </w:r>
            <w:r w:rsidR="00377181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возможности их доставки на дом, избегая 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общественного внимания</w:t>
            </w:r>
            <w:r w:rsidR="00C8333D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C8333D" w:rsidRPr="00B40884" w:rsidRDefault="00C8333D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размер непродовольственных товаров соответствующий тому, чтобы женщины, дети, пожилые люди и люди с ограниченными возможностями могли их нести.</w:t>
            </w:r>
          </w:p>
          <w:p w:rsidR="006655DF" w:rsidRPr="00E50B8A" w:rsidRDefault="00C8333D" w:rsidP="00B4088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Разработайте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стратегии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распределения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для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населения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с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особыми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потребностями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как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беременные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женщины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дети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одинокие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родители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с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маленькими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детьми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пожилые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люди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больные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,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люди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B40884"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с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ограниченными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возможностями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или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377181"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отчужденные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группы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E50B8A">
              <w:rPr>
                <w:rFonts w:ascii="Calibri" w:hAnsi="Calibri" w:cs="Calibri" w:hint="cs"/>
                <w:color w:val="auto"/>
                <w:sz w:val="20"/>
                <w:szCs w:val="20"/>
                <w:lang w:val="ru-RU"/>
              </w:rPr>
              <w:t>населения</w:t>
            </w:r>
            <w:r w:rsidRPr="00E50B8A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FC4514" w:rsidRPr="00B40884" w:rsidRDefault="00FC4514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DD0658" w:rsidRPr="00B40884" w:rsidRDefault="00DD0658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</w:p>
    <w:p w:rsidR="00B05986" w:rsidRPr="00B40884" w:rsidRDefault="00B05986" w:rsidP="00B05986">
      <w:pPr>
        <w:shd w:val="clear" w:color="auto" w:fill="95B3D7" w:themeFill="accent1" w:themeFillTint="99"/>
        <w:spacing w:before="40" w:after="40"/>
        <w:rPr>
          <w:b/>
          <w:lang w:val="ru-RU"/>
        </w:rPr>
      </w:pPr>
      <w:r w:rsidRPr="00B40884"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55880</wp:posOffset>
            </wp:positionV>
            <wp:extent cx="219075" cy="142875"/>
            <wp:effectExtent l="19050" t="0" r="9525" b="0"/>
            <wp:wrapNone/>
            <wp:docPr id="3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172C" w:rsidRPr="00B40884">
        <w:rPr>
          <w:b/>
          <w:lang w:val="ru-RU"/>
        </w:rPr>
        <w:t>Полн</w:t>
      </w:r>
      <w:r w:rsidR="00331BCE">
        <w:rPr>
          <w:b/>
          <w:lang w:val="ru-RU"/>
        </w:rPr>
        <w:t>ый и свободный</w:t>
      </w:r>
      <w:r w:rsidR="0021172C" w:rsidRPr="00B40884">
        <w:rPr>
          <w:b/>
          <w:lang w:val="ru-RU"/>
        </w:rPr>
        <w:t xml:space="preserve"> доступ</w:t>
      </w:r>
    </w:p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B05986" w:rsidRPr="00B40884" w:rsidRDefault="007D0B41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услуги предоставляются в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надлежащее время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, когда отдельные лица могут реально получить доступ к ним.</w:t>
      </w:r>
    </w:p>
    <w:tbl>
      <w:tblPr>
        <w:tblStyle w:val="TableGrid"/>
        <w:tblW w:w="9468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7D0B41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7D0B41" w:rsidRPr="00B40884" w:rsidRDefault="007D0B41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Рассмотрите возможность предоставления услуг после рабочего времени. </w:t>
            </w:r>
            <w:r w:rsidRPr="00B40884">
              <w:rPr>
                <w:rFonts w:ascii="Calibri" w:hAnsi="Calibri" w:cs="Calibri"/>
                <w:i/>
                <w:color w:val="auto"/>
                <w:sz w:val="20"/>
                <w:szCs w:val="20"/>
                <w:lang w:val="ru-RU"/>
              </w:rPr>
              <w:t>Пример: Работайте через координационные центры или предоставляйте услуги в вечернее время/по выходным.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Например, если обслуживание или регистрация выполняется только с 9:00 до 17:00, какие существуют процедуры для защиты людей, приб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ы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вших в 17:01? Учитывают ли эти процедуры возраст и пол? Организуйте гибкие графики персонала для предоставления им возможности доступа к основным клиентам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пределах их графика работы и календаря.</w:t>
            </w:r>
          </w:p>
          <w:p w:rsidR="007D0B41" w:rsidRPr="00B40884" w:rsidRDefault="007D0B41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Существует ли круглосуточный доступ к службам защиты в чрезвычайных ситуациях (например, медицинская помощь)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?</w:t>
            </w:r>
          </w:p>
          <w:p w:rsidR="00B05986" w:rsidRPr="00B40884" w:rsidRDefault="007D0B41" w:rsidP="00B4088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Рассмотрите возможность использования мобильных услуг для получателей помощи для доступа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услугам.</w:t>
            </w:r>
          </w:p>
        </w:tc>
      </w:tr>
    </w:tbl>
    <w:p w:rsidR="00B05986" w:rsidRPr="00B40884" w:rsidRDefault="00B05986" w:rsidP="007D0B41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896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B05986" w:rsidRPr="00B40884" w:rsidRDefault="007D0B41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  <w:r w:rsidRPr="00B40884">
        <w:rPr>
          <w:rFonts w:ascii="Calibri" w:hAnsi="Calibri" w:cs="Calibri"/>
          <w:color w:val="auto"/>
          <w:sz w:val="22"/>
          <w:szCs w:val="22"/>
          <w:lang w:val="ru-RU"/>
        </w:rPr>
        <w:t xml:space="preserve">Убедитесь, что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женщины и девушки</w:t>
      </w:r>
      <w:r w:rsidRPr="00B40884">
        <w:rPr>
          <w:rFonts w:ascii="Calibri" w:hAnsi="Calibri" w:cs="Calibri"/>
          <w:color w:val="auto"/>
          <w:sz w:val="22"/>
          <w:szCs w:val="22"/>
          <w:lang w:val="ru-RU"/>
        </w:rPr>
        <w:t xml:space="preserve"> имеют доступ к услугам</w:t>
      </w:r>
      <w:r w:rsidR="00B40884">
        <w:rPr>
          <w:rFonts w:ascii="Calibri" w:hAnsi="Calibri" w:cs="Calibri"/>
          <w:color w:val="auto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05986" w:rsidRPr="00B40884" w:rsidRDefault="007D0B41" w:rsidP="00E50B8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Необходимо учитывать, что в большинстве ситуаций женщины и девушки ограниченны в доступе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услугам</w:t>
            </w:r>
            <w:r w:rsidR="00A47D8F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только из-за их пола. Разговаривайте с женщинами и девушками напрямую и отдельно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от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="00A47D8F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мужчин и юношей для понимания препятствий, с которыми они сталкиваются. Учитывайте проблемы защиты, которые возникают вследствие разговоров с женщинами/девушками наедине. У вас должен быть персонал того же пола. Будьте готовы работать с лидерами общины для обеспечения отдельного доступа к женщинам и девушкам.</w:t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21172C" w:rsidRPr="00B40884" w:rsidRDefault="0021172C" w:rsidP="0021172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Убедитесь в возможности доступа к услугам для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людей с ограниченными возможностями передвижения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(например, людей с ограниченными физическими возможностями, пожилых людей, а также людей, прикованных к постели)</w:t>
      </w:r>
      <w:r w:rsidR="00B40884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21172C" w:rsidRPr="00B40884" w:rsidRDefault="0021172C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Сделайте пути доступа гладкими и оборудуйте пандусы для инвалидных колясок. Учитывайте различные физические неспособности. Различные инвалидные коляски могут занимать различные объемы пространства. Протезы могут сделать преодоление даже относительно коротких расстояний трудными. Обсуждайте с людьми с ограниченными возможностями решения, которые лучше всего удовлетворят их потребности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B05986" w:rsidRPr="00B40884" w:rsidRDefault="0021172C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Если у некоторых людей нет возможности доступа к услугам, обеспечьте специальные меры с целью сделать их доступными </w:t>
            </w:r>
            <w:r w:rsidR="00B05986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(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например, мобильные центры консультирования, посещения на дому).</w:t>
            </w:r>
          </w:p>
          <w:p w:rsidR="0021172C" w:rsidRPr="00B40884" w:rsidRDefault="0021172C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Необходимо признать, что проблемы защиты могут быть усиленными для лиц ограниченными возможностями. Женщины и девушки </w:t>
            </w:r>
            <w:r w:rsidR="00E12237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с 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ограниченными возможностями подвергаются более высокому риску ГН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  <w:p w:rsidR="00B05986" w:rsidRPr="00B40884" w:rsidRDefault="0021172C" w:rsidP="00E50B8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Сотрудничайте с местными НГО, которые работают с лицами с ограниченными возможностями,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для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обучения персонала и привлечения отдельных лиц для предоставления консультаций и услуг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на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дому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="Calibri" w:hAnsi="Calibri" w:cs="Calibri"/>
          <w:color w:val="auto"/>
          <w:sz w:val="22"/>
          <w:szCs w:val="22"/>
          <w:lang w:val="ru-RU"/>
        </w:rPr>
      </w:pPr>
    </w:p>
    <w:p w:rsidR="00C129F6" w:rsidRPr="00B40884" w:rsidRDefault="00C129F6" w:rsidP="00C129F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Убедитесь в возможности доступа к услугам для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лиц с ограниченными возможностями, которые мешают передвижению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(например, слепым, слабослышащим, с умственными проблемами)</w:t>
      </w:r>
      <w:r w:rsidR="00B40884">
        <w:rPr>
          <w:rFonts w:ascii="Calibri" w:hAnsi="Calibri" w:cs="Calibri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C129F6" w:rsidRPr="00B40884" w:rsidRDefault="00C129F6" w:rsidP="00C129F6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Предоставляйте информацию об услугах как в устной, так и в письменной форме. Рассмотрите возможность разработки</w:t>
            </w:r>
            <w:r w:rsidR="00C5454C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представлений и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объяснений в виде изображений</w:t>
            </w:r>
            <w:r w:rsidR="00C5454C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(например, пути направления к получению услуг).</w:t>
            </w:r>
          </w:p>
          <w:p w:rsidR="00C5454C" w:rsidRPr="00B40884" w:rsidRDefault="00C5454C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персонал обучен работе с лицами с ограниченными умственными возможностями, включая обеспечение надлежащей конфиденциальности и информированного согласия. Местные НГО зачастую уже имеют технические знания.</w:t>
            </w:r>
          </w:p>
          <w:p w:rsidR="00B05986" w:rsidRPr="00B40884" w:rsidRDefault="00C5454C" w:rsidP="00C5454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Необходимо признать, что проблемы защиты могут быть усиленными для лиц ограниченными возможностями. Женщины и девушки с ограниченными возможностями подвергаются более высокому риску ГН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b/>
          <w:bCs/>
          <w:color w:val="FF0000"/>
          <w:sz w:val="22"/>
          <w:szCs w:val="22"/>
          <w:lang w:val="ru-RU"/>
        </w:rPr>
      </w:pPr>
    </w:p>
    <w:p w:rsidR="00A47D8F" w:rsidRPr="00B40884" w:rsidRDefault="00A47D8F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Убедитесь, что люди с нетрадиционной сексуальной ориентацией (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лесбиянки, геи, бисексуалы, транссексуалы и интерсексуалы (ЛГБТИ)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) имеют доступ к услугам</w:t>
      </w:r>
      <w:r w:rsid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B05986" w:rsidRPr="00B40884" w:rsidRDefault="00A47D8F" w:rsidP="00B4088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Привлеките персонал к обсуждению включения лесбиянок, геев, би-, транс- и интерсексуалов (ЛГБТИ)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в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программную деятельность и услуги. ЛГБТИ постоянно исключаются из числа лиц, которые получают помощь, часто это случается по той причине, что они считают, что им откажут в оказании помощи из-за их идентичности. Однако, в отличие от других групп меньшинств, которые подвергаются дискриминации или игнорированию, во многих странах </w:t>
            </w:r>
            <w:r w:rsidR="003421D8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ЛГБТИ подвергаются риску прямых нападений и насилия или даже преследования в рамках национального законодательства. Такое отношение также широко распространено среди работников по оказанию помощи. Во всех случаях важно расставить приоритеты безопасности, а не подвергать людей еще большему риску (например, важно поддерживать доступ ЛГБТИ к услугам, но не раскрывать их гендерную идентичность без четкого согласия).</w:t>
            </w:r>
            <w:r w:rsidR="003421D8" w:rsidRPr="00B40884">
              <w:rPr>
                <w:rFonts w:asciiTheme="minorHAnsi" w:hAnsiTheme="minorHAnsi" w:cstheme="majorHAns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3421D8" w:rsidRPr="00B40884">
              <w:rPr>
                <w:rFonts w:asciiTheme="minorHAnsi" w:hAnsiTheme="minorHAnsi" w:cstheme="majorHAnsi"/>
                <w:noProof/>
                <w:color w:val="000000" w:themeColor="text1"/>
                <w:sz w:val="20"/>
                <w:szCs w:val="20"/>
                <w:lang w:eastAsia="en-US"/>
              </w:rPr>
              <w:drawing>
                <wp:inline distT="0" distB="0" distL="0" distR="0">
                  <wp:extent cx="161925" cy="161925"/>
                  <wp:effectExtent l="19050" t="0" r="0" b="0"/>
                  <wp:docPr id="1" name="Picture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ajorHAnsi"/>
          <w:b/>
          <w:bCs/>
          <w:color w:val="FF0000"/>
          <w:sz w:val="22"/>
          <w:szCs w:val="22"/>
          <w:lang w:val="ru-RU"/>
        </w:rPr>
      </w:pPr>
    </w:p>
    <w:p w:rsidR="00B05986" w:rsidRPr="00B40884" w:rsidRDefault="00943F4F" w:rsidP="00943F4F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Убедитесь, что отсутствие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документации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не исключает отдельных лиц от доступа к услугам.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943F4F" w:rsidRPr="00B40884" w:rsidRDefault="00943F4F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Следует учитывать, что отсутствие документации может повлиять на доступ к услугам и посещаемость. Например, в Пакистане родители без документов не имели доступа к распределению пищи, поэтому они отправляли своих детей на работу вместо школы.</w:t>
            </w:r>
          </w:p>
          <w:p w:rsidR="00943F4F" w:rsidRPr="00B40884" w:rsidRDefault="00943F4F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Некоторые с наиболее отчужденных людей имеют незаконченное школьное образование или неграмотные, так что у них может не быть школьных сертификатов. Узнайте, являются ли эти сертификаты крайне необходимыми, чтобы люди не обязательно были исключены из получения услуг.</w:t>
            </w:r>
          </w:p>
          <w:p w:rsidR="00B05986" w:rsidRPr="00B40884" w:rsidRDefault="00943F4F" w:rsidP="00943F4F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Необходимо предоставлять помощь получателям помощи в вопросах получения документов или обращения к организациям, которые их выдают.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B40884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61925" cy="161925"/>
                  <wp:effectExtent l="19050" t="0" r="0" b="0"/>
                  <wp:docPr id="8" name="Picture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60"/>
        <w:ind w:left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</w:p>
    <w:p w:rsidR="00950D28" w:rsidRPr="00B40884" w:rsidRDefault="00950D28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Убедитесь, что получатели помощи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знают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свои права и</w:t>
      </w:r>
      <w:r w:rsid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то,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как их отстаивать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(например, получить доступ </w:t>
      </w:r>
      <w:r w:rsidR="00B40884"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к</w:t>
      </w:r>
      <w:r w:rsid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 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услугам).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950D28" w:rsidRPr="00B40884" w:rsidRDefault="00950D28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проведении оценок постоянно определяется отсутствие осведомленности о правах и услугах.</w:t>
            </w:r>
          </w:p>
          <w:p w:rsidR="00950D28" w:rsidRPr="00B40884" w:rsidRDefault="00950D28" w:rsidP="00950D2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Необходимо обеспечивать правовую осведомленность в достаточном количестве на языках, понятных всем получателям помощи, особенно новоприбывшим в поселения для перемещенных лиц.</w:t>
            </w:r>
          </w:p>
          <w:p w:rsidR="00B05986" w:rsidRPr="00B40884" w:rsidRDefault="00950D28" w:rsidP="00950D2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разработке печатных материалов необходимо учитывать уровни грамотности. Печатные материалы должны учитывать уровни грамотности (например, использование пиктограмм вместо текста). Недостаточная осведомленность о правах и услугах всегда является разрывом, который определяется при проведении оценки.</w:t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B05986" w:rsidRPr="00B40884" w:rsidRDefault="00950D28" w:rsidP="00B05986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Контролируйте 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доступ и дискриминацию</w:t>
      </w:r>
      <w:r w:rsidRPr="00B40884"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986" w:rsidRPr="005B77A8" w:rsidTr="000F1DBB">
        <w:tc>
          <w:tcPr>
            <w:tcW w:w="9468" w:type="dxa"/>
            <w:shd w:val="clear" w:color="auto" w:fill="FDE9D9" w:themeFill="accent6" w:themeFillTint="33"/>
          </w:tcPr>
          <w:p w:rsidR="00B05986" w:rsidRPr="00B40884" w:rsidRDefault="002A04A4" w:rsidP="000F1DBB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lastRenderedPageBreak/>
              <w:t>Примечания:</w:t>
            </w:r>
          </w:p>
          <w:p w:rsidR="00950D28" w:rsidRPr="00B40884" w:rsidRDefault="00950D28" w:rsidP="00950D2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Обеспечьте разбивку проектных показателей (например, количество лиц, которые имеют доступ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к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услугам) по возрасту, полу и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местоположени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ю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конкретных групп (например, лица </w:t>
            </w:r>
            <w:r w:rsidR="00B40884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с</w:t>
            </w:r>
            <w:r w:rsid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ограниченными возможностями, этнические меньшинства).</w:t>
            </w:r>
          </w:p>
          <w:p w:rsidR="00950D28" w:rsidRPr="00B40884" w:rsidRDefault="00950D28" w:rsidP="000F1DBB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При возможности обучите комитеты по вопросам защиты и получателей помощи контролю доступа.</w:t>
            </w:r>
          </w:p>
          <w:p w:rsidR="00B05986" w:rsidRPr="00B40884" w:rsidRDefault="00950D28" w:rsidP="00950D2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>Убедитесь, что услуги достигают наиболее уязвимых групп населения.</w:t>
            </w:r>
          </w:p>
        </w:tc>
      </w:tr>
    </w:tbl>
    <w:p w:rsidR="00B05986" w:rsidRPr="00B40884" w:rsidRDefault="00B05986" w:rsidP="00B05986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b/>
          <w:lang w:val="ru-RU"/>
        </w:rPr>
      </w:pPr>
      <w:r w:rsidRPr="00B40884">
        <w:rPr>
          <w:b/>
          <w:lang w:val="ru-RU"/>
        </w:rPr>
        <w:br w:type="textWrapping" w:clear="all"/>
      </w:r>
    </w:p>
    <w:p w:rsidR="006314F7" w:rsidRPr="00B40884" w:rsidRDefault="00632A16" w:rsidP="006314F7">
      <w:pPr>
        <w:shd w:val="clear" w:color="auto" w:fill="95B3D7" w:themeFill="accent1" w:themeFillTint="99"/>
        <w:spacing w:before="40" w:after="40"/>
        <w:rPr>
          <w:b/>
          <w:lang w:val="ru-RU"/>
        </w:rPr>
      </w:pPr>
      <w:r>
        <w:rPr>
          <w:b/>
          <w:lang w:val="ru-RU"/>
        </w:rPr>
        <w:t>Подотчетность и о</w:t>
      </w:r>
      <w:r w:rsidR="006314F7" w:rsidRPr="00B40884">
        <w:rPr>
          <w:b/>
          <w:lang w:val="ru-RU"/>
        </w:rPr>
        <w:t xml:space="preserve">тветственность, участие и </w:t>
      </w:r>
      <w:r>
        <w:rPr>
          <w:b/>
          <w:lang w:val="ru-RU"/>
        </w:rPr>
        <w:t>расширение возможностей</w:t>
      </w:r>
    </w:p>
    <w:p w:rsidR="0007478C" w:rsidRPr="00B40884" w:rsidRDefault="0007478C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314F7" w:rsidRPr="00B40884" w:rsidRDefault="006314F7" w:rsidP="0007478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Определите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расстановку сил 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в пределах зоны вмешательства. Какими являются группы меньшинств и кто является уязвимым или отчужденным? Есть ли у них доступ к услугам?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DE47B3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90024A" w:rsidRPr="00B40884" w:rsidRDefault="002A04A4" w:rsidP="0090024A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90024A" w:rsidRPr="00B40884" w:rsidRDefault="006314F7" w:rsidP="006314F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Проводите консультации с кластерами/организациями по защите, включая субкластеры по ГН и защите детей, относительно расстановки сил в зоне вмешательства</w:t>
            </w:r>
            <w:r w:rsidR="0090024A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  <w:r w:rsidR="004C2DD3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4C2DD3" w:rsidRPr="00B40884">
              <w:rPr>
                <w:rFonts w:asciiTheme="minorHAnsi" w:hAnsiTheme="minorHAns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61925" cy="161925"/>
                  <wp:effectExtent l="19050" t="0" r="0" b="0"/>
                  <wp:docPr id="6" name="Picture 1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66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0024A" w:rsidRPr="00B40884"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="004C2DD3" w:rsidRPr="00B40884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219710" cy="142875"/>
                  <wp:effectExtent l="19050" t="0" r="8890" b="0"/>
                  <wp:docPr id="1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C2DD3" w:rsidRPr="00B40884">
              <w:rPr>
                <w:rFonts w:ascii="Calibri" w:hAnsi="Calibri" w:cs="Calibri"/>
                <w:noProof/>
                <w:color w:val="auto"/>
                <w:sz w:val="20"/>
                <w:szCs w:val="20"/>
                <w:lang w:eastAsia="en-US"/>
              </w:rPr>
              <w:drawing>
                <wp:inline distT="0" distB="0" distL="0" distR="0">
                  <wp:extent cx="190500" cy="190500"/>
                  <wp:effectExtent l="19050" t="0" r="0" b="0"/>
                  <wp:docPr id="19" name="Picture 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84" cy="190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47B3" w:rsidRPr="00B40884" w:rsidRDefault="006314F7" w:rsidP="006314F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Используйте эту информацию для уведомления о наблюдательной деятельности и определения препятствий к доступу или дискриминации относительно определенных групп.</w:t>
            </w:r>
          </w:p>
        </w:tc>
      </w:tr>
    </w:tbl>
    <w:p w:rsidR="00DE47B3" w:rsidRPr="00B40884" w:rsidRDefault="00DE47B3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314F7" w:rsidRPr="00B40884" w:rsidRDefault="006314F7" w:rsidP="0007478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Определите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местные органы власти и гражданского общества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, которые специализируются на работе с лицами </w:t>
      </w:r>
      <w:r w:rsidR="00B40884" w:rsidRPr="00B40884">
        <w:rPr>
          <w:rFonts w:ascii="Calibri" w:hAnsi="Calibri" w:cs="Calibri"/>
          <w:sz w:val="22"/>
          <w:szCs w:val="22"/>
          <w:lang w:val="ru-RU"/>
        </w:rPr>
        <w:t>с</w:t>
      </w:r>
      <w:r w:rsidR="00B40884">
        <w:rPr>
          <w:rFonts w:ascii="Calibri" w:hAnsi="Calibri" w:cs="Calibri"/>
          <w:sz w:val="22"/>
          <w:szCs w:val="22"/>
          <w:lang w:val="ru-RU"/>
        </w:rPr>
        <w:t> </w:t>
      </w:r>
      <w:r w:rsidRPr="00B40884">
        <w:rPr>
          <w:rFonts w:ascii="Calibri" w:hAnsi="Calibri" w:cs="Calibri"/>
          <w:sz w:val="22"/>
          <w:szCs w:val="22"/>
          <w:lang w:val="ru-RU"/>
        </w:rPr>
        <w:t>ограниченными возможностями. Укрепляйте и поддерживайте их роль, а также учитесь на их опыте.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DE47B3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DE47B3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6314F7" w:rsidRPr="00B40884" w:rsidRDefault="006314F7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Согласовывайте действия со специализированными организациями для определения лиц 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проблемами передвижения и их включения в программу помощи. В большинстве стран есть национальные или местные НГО, которые предоставляют услуги уязвимым группам населения. Они могут не работать в определенных регионах, однако могут стать ценным ресурсом для обучения персонала и передачи дел.</w:t>
            </w:r>
          </w:p>
          <w:p w:rsidR="006314F7" w:rsidRPr="00B40884" w:rsidRDefault="006314F7" w:rsidP="006314F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60" w:hanging="14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Организации, которые работают в той же местности, могут помочь в задействовании лиц 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с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проблемами передвижения в ключевые виды деятельности.</w:t>
            </w:r>
          </w:p>
          <w:p w:rsidR="00DE47B3" w:rsidRPr="00B40884" w:rsidRDefault="006314F7" w:rsidP="00E50B8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Основные международные НГО, которые работают с такими проблемами, включают Handicap</w:t>
            </w:r>
            <w:r w:rsidR="001556E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International (Международная 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рганизация 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и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нвалидов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) и HelpAge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.</w:t>
            </w:r>
          </w:p>
        </w:tc>
      </w:tr>
    </w:tbl>
    <w:p w:rsidR="00DE47B3" w:rsidRPr="00B40884" w:rsidRDefault="00DE47B3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6314F7" w:rsidRPr="00B40884" w:rsidRDefault="006314F7" w:rsidP="006314F7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Сообщайте о своей обеспокоенности по поводу защиты </w:t>
      </w:r>
      <w:r w:rsid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к</w:t>
      </w:r>
      <w:r w:rsidR="00B40884"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ластеру 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защиты, включая субкластеры по ГН и защите детей. Другие организации могут иметь возможность предоставить помощь.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312660" w:rsidRPr="005B77A8" w:rsidTr="009A0F59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312660" w:rsidRPr="00B40884" w:rsidRDefault="002A04A4" w:rsidP="009A0F59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312660" w:rsidRPr="00B40884" w:rsidRDefault="006314F7" w:rsidP="006314F7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Необходимо сообщать о случаях насилия безотлагательно и в соответствии со стандартными рабочими процедурами, установленными в этой области.</w:t>
            </w:r>
          </w:p>
        </w:tc>
      </w:tr>
    </w:tbl>
    <w:p w:rsidR="0007478C" w:rsidRPr="00B40884" w:rsidRDefault="0007478C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7A1091" w:rsidRPr="00B40884" w:rsidRDefault="007A1091" w:rsidP="0007478C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bCs/>
          <w:color w:val="auto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Убедитесь в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проведении консультации</w:t>
      </w:r>
      <w:r w:rsidRPr="00B40884">
        <w:rPr>
          <w:rFonts w:ascii="Calibri" w:hAnsi="Calibri" w:cs="Calibri"/>
          <w:sz w:val="22"/>
          <w:szCs w:val="22"/>
          <w:lang w:val="ru-RU"/>
        </w:rPr>
        <w:t xml:space="preserve"> со всеми слоями общества при определении и удовлетворении потребностей защиты. </w:t>
      </w:r>
      <w:r w:rsidRPr="00B40884">
        <w:rPr>
          <w:rFonts w:asciiTheme="minorHAnsi" w:hAnsiTheme="minorHAnsi" w:cstheme="majorHAnsi"/>
          <w:bCs/>
          <w:noProof/>
          <w:color w:val="auto"/>
          <w:sz w:val="22"/>
          <w:szCs w:val="22"/>
          <w:lang w:eastAsia="en-US"/>
        </w:rPr>
        <w:drawing>
          <wp:inline distT="0" distB="0" distL="0" distR="0">
            <wp:extent cx="190500" cy="190500"/>
            <wp:effectExtent l="19050" t="0" r="0" b="0"/>
            <wp:docPr id="9" name="Picture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84" cy="19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057A3" w:rsidRPr="005B77A8" w:rsidTr="00AE7828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057A3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7A1091" w:rsidRPr="00B40884" w:rsidRDefault="007A1091" w:rsidP="0007478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Различные критерии могут повлиять на расстановку сил</w:t>
            </w:r>
            <w:r w:rsidR="00397E4E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в зоне вмешательства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. Например, </w:t>
            </w:r>
            <w:r w:rsidR="00B40884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</w:t>
            </w:r>
            <w:r w:rsid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некоторых местах важно будет провести консультации с различными социально-экономическими группами (например, этническими или хозяйственными меньшинствами). Во всех ситуациях необходимо включать женщин, мужчин, юношей, девушек, пожилых людей и лиц с ограниченными возможностями для понимания их потребностей и предпочтений относительно местоположения, конструкции и</w:t>
            </w:r>
            <w:r w:rsidR="00397E4E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методики предоставления помощи.</w:t>
            </w:r>
          </w:p>
          <w:p w:rsidR="00B057A3" w:rsidRPr="00B40884" w:rsidRDefault="00397E4E" w:rsidP="00164EC5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Кроме рассмотрения потребностей в защите различных групп, также важно включить их членов </w:t>
            </w:r>
            <w:r w:rsidR="00164EC5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</w:t>
            </w:r>
            <w:r w:rsidR="00164EC5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определение решений. В дополнение к более соответствующему и потенциально долговременному реагированию это укрепит доверие и чувство собственного достоинства получателей помощи.</w:t>
            </w:r>
          </w:p>
        </w:tc>
      </w:tr>
    </w:tbl>
    <w:p w:rsidR="00B057A3" w:rsidRPr="00B40884" w:rsidRDefault="00B057A3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881FF6" w:rsidRPr="00B40884" w:rsidRDefault="00397E4E" w:rsidP="00397E4E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lastRenderedPageBreak/>
        <w:t xml:space="preserve">Узнайте о возможных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 xml:space="preserve">стратегиях решения проблем 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различных групп общины. Подвергают ли получатели помощи риску свою безопасность и достоинство? Необходимо как можно скорее определять риски и принимать меры, чтобы помочь людям избежать обращения к</w:t>
      </w:r>
      <w:r w:rsidR="009E222E"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таким стратегиям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или снизить риск применения стратегий решения проблем, которые могут иметь отрицательное влияние. При возможности поощряйте и поддерживайте </w:t>
      </w:r>
      <w:r w:rsidR="009E222E"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способности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 xml:space="preserve"> самозащиты.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881FF6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881FF6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881FF6" w:rsidRPr="00B40884" w:rsidRDefault="00935B7A" w:rsidP="000821FC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В одном лагере для перемещенных лиц было необходимо обновлять документацию после брака. Задержка вызвала остановку получения </w:t>
            </w:r>
            <w:r w:rsidR="000821FC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продовольствия </w:t>
            </w:r>
            <w:bookmarkStart w:id="0" w:name="_GoBack"/>
            <w:bookmarkEnd w:id="0"/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получателями помощи, что привело к тому, что родители должны были отправлять детей на работу. Сотрудники в лагере успешно сагитировали организацию, которая занималась распределением, временно продолжить поставлять пищу до получения документов.</w:t>
            </w:r>
          </w:p>
        </w:tc>
      </w:tr>
    </w:tbl>
    <w:p w:rsidR="00A06CF4" w:rsidRPr="00B40884" w:rsidRDefault="00A06CF4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p w:rsidR="00935B7A" w:rsidRPr="00B40884" w:rsidRDefault="00935B7A" w:rsidP="00641223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="Calibri"/>
          <w:sz w:val="22"/>
          <w:szCs w:val="22"/>
          <w:lang w:val="ru-RU"/>
        </w:rPr>
      </w:pPr>
      <w:r w:rsidRPr="00B40884">
        <w:rPr>
          <w:rFonts w:asciiTheme="minorHAnsi" w:hAnsiTheme="minorHAnsi" w:cs="Calibri"/>
          <w:sz w:val="22"/>
          <w:szCs w:val="22"/>
          <w:lang w:val="ru-RU"/>
        </w:rPr>
        <w:t xml:space="preserve">В случае организации комитетов по вопросам защиты содействуйте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полноценному представлению</w:t>
      </w:r>
      <w:r w:rsidRPr="00B40884">
        <w:rPr>
          <w:rFonts w:asciiTheme="minorHAnsi" w:hAnsiTheme="minorHAnsi" w:cs="Calibri"/>
          <w:sz w:val="22"/>
          <w:szCs w:val="22"/>
          <w:lang w:val="ru-RU"/>
        </w:rPr>
        <w:t xml:space="preserve"> всех слоев общества и </w:t>
      </w:r>
      <w:r w:rsidRPr="00B40884"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  <w:t>обучению всех членов «принципам активизации защиты».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641223" w:rsidRPr="005B77A8" w:rsidTr="00A47D8F">
        <w:trPr>
          <w:trHeight w:val="1021"/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641223" w:rsidRPr="00B40884" w:rsidRDefault="002A04A4" w:rsidP="00AE7828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Примечания:</w:t>
            </w:r>
          </w:p>
          <w:p w:rsidR="00935B7A" w:rsidRPr="00B40884" w:rsidRDefault="00935B7A" w:rsidP="00AE7828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Члены комитетов по вопросам защиты могут играть ключевую роль в определении вопросов, связанных с отчуждением и дискриминацией.</w:t>
            </w:r>
          </w:p>
          <w:p w:rsidR="006655DF" w:rsidRPr="00B40884" w:rsidRDefault="00935B7A" w:rsidP="00935B7A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Возможно</w:t>
            </w:r>
            <w:r w:rsidR="00164EC5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,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 необходимо будет проявлять инициативу и активно привлекать представителей/участников, поскольку некоторые сегменты населения могут не чувствовать, что у них есть право на высказывание и участие, из-за культурных норм и отчуждения даже тогда, когда дверь открыта для них.</w:t>
            </w:r>
          </w:p>
        </w:tc>
      </w:tr>
    </w:tbl>
    <w:p w:rsidR="00A06CF4" w:rsidRPr="00B40884" w:rsidRDefault="00A06CF4" w:rsidP="0007478C">
      <w:pPr>
        <w:pStyle w:val="Body"/>
        <w:tabs>
          <w:tab w:val="left" w:pos="288"/>
        </w:tabs>
        <w:autoSpaceDE w:val="0"/>
        <w:autoSpaceDN w:val="0"/>
        <w:adjustRightInd w:val="0"/>
        <w:spacing w:before="40" w:after="40"/>
        <w:ind w:left="284"/>
        <w:jc w:val="both"/>
        <w:rPr>
          <w:rFonts w:asciiTheme="minorHAnsi" w:hAnsiTheme="minorHAnsi" w:cstheme="majorHAnsi"/>
          <w:color w:val="000000" w:themeColor="text1"/>
          <w:sz w:val="22"/>
          <w:szCs w:val="22"/>
          <w:lang w:val="ru-RU"/>
        </w:rPr>
      </w:pPr>
    </w:p>
    <w:p w:rsidR="00BD1E66" w:rsidRPr="00B40884" w:rsidRDefault="002A04A4" w:rsidP="002A04A4">
      <w:pPr>
        <w:pStyle w:val="Body"/>
        <w:numPr>
          <w:ilvl w:val="0"/>
          <w:numId w:val="3"/>
        </w:numPr>
        <w:tabs>
          <w:tab w:val="left" w:pos="288"/>
        </w:tabs>
        <w:autoSpaceDE w:val="0"/>
        <w:autoSpaceDN w:val="0"/>
        <w:adjustRightInd w:val="0"/>
        <w:spacing w:before="40" w:after="60"/>
        <w:ind w:left="284" w:hanging="284"/>
        <w:jc w:val="both"/>
        <w:rPr>
          <w:rFonts w:ascii="Calibri" w:hAnsi="Calibri" w:cs="Calibri"/>
          <w:sz w:val="22"/>
          <w:szCs w:val="22"/>
          <w:lang w:val="ru-RU"/>
        </w:rPr>
      </w:pPr>
      <w:r w:rsidRPr="00B40884">
        <w:rPr>
          <w:rFonts w:ascii="Calibri" w:hAnsi="Calibri" w:cs="Calibri"/>
          <w:sz w:val="22"/>
          <w:szCs w:val="22"/>
          <w:lang w:val="ru-RU"/>
        </w:rPr>
        <w:t xml:space="preserve">Установите доступный и понятный </w:t>
      </w:r>
      <w:r w:rsidRPr="00B40884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механизм подачи предложений и жалоб</w:t>
      </w:r>
      <w:r w:rsidR="00164EC5">
        <w:rPr>
          <w:rFonts w:asciiTheme="minorHAnsi" w:hAnsiTheme="minorHAnsi" w:cstheme="majorHAnsi"/>
          <w:b/>
          <w:smallCaps/>
          <w:color w:val="000000" w:themeColor="text1"/>
          <w:sz w:val="22"/>
          <w:szCs w:val="22"/>
          <w:lang w:val="ru-RU"/>
        </w:rPr>
        <w:t>.</w:t>
      </w:r>
    </w:p>
    <w:tbl>
      <w:tblPr>
        <w:tblStyle w:val="TableGrid"/>
        <w:tblW w:w="0" w:type="auto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468"/>
      </w:tblGrid>
      <w:tr w:rsidR="00BD1E66" w:rsidRPr="005B77A8" w:rsidTr="009318AF">
        <w:trPr>
          <w:jc w:val="center"/>
        </w:trPr>
        <w:tc>
          <w:tcPr>
            <w:tcW w:w="9468" w:type="dxa"/>
            <w:shd w:val="clear" w:color="auto" w:fill="FDE9D9" w:themeFill="accent6" w:themeFillTint="33"/>
          </w:tcPr>
          <w:p w:rsidR="00BD1E66" w:rsidRPr="00B40884" w:rsidRDefault="002A04A4" w:rsidP="0007478C">
            <w:pPr>
              <w:pStyle w:val="Body"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="Calibri" w:hAnsi="Calibri" w:cs="Calibri"/>
                <w:b/>
                <w:color w:val="auto"/>
                <w:sz w:val="20"/>
                <w:szCs w:val="20"/>
                <w:lang w:val="ru-RU"/>
              </w:rPr>
              <w:t>Примечания</w:t>
            </w:r>
            <w:r w:rsidRPr="00B40884">
              <w:rPr>
                <w:rFonts w:asciiTheme="minorHAnsi" w:hAnsiTheme="minorHAnsi" w:cs="Calibri"/>
                <w:b/>
                <w:color w:val="auto"/>
                <w:sz w:val="20"/>
                <w:szCs w:val="20"/>
                <w:lang w:val="ru-RU"/>
              </w:rPr>
              <w:t>:</w:t>
            </w:r>
          </w:p>
          <w:p w:rsidR="002A04A4" w:rsidRPr="00B40884" w:rsidRDefault="002A04A4" w:rsidP="002A04A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Нельзя считать, что применение политики «открытых дверей» является достаточным. Убедитесь, что существуют другие возможности подачи жалоб, которые не требуют раскрытия личности получателей помощи перед персоналом проекта.</w:t>
            </w:r>
          </w:p>
          <w:p w:rsidR="002A04A4" w:rsidRPr="00B40884" w:rsidRDefault="002A04A4" w:rsidP="002A04A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РЕАГИРУЙТЕ на жалобы, независимо от того, какие меры необходимо принять для исправления ситуации.</w:t>
            </w:r>
          </w:p>
          <w:p w:rsidR="002A04A4" w:rsidRPr="00B40884" w:rsidRDefault="002A04A4" w:rsidP="002A04A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 xml:space="preserve">Укомплектуйте механизм как мужчинами, так и женщинами, а также убедитесь, что он доступен </w:t>
            </w:r>
            <w:r w:rsidR="00164EC5"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для</w:t>
            </w:r>
            <w:r w:rsidR="00164EC5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 </w:t>
            </w: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детей.</w:t>
            </w:r>
          </w:p>
          <w:p w:rsidR="00EA2567" w:rsidRPr="00B40884" w:rsidRDefault="002A04A4" w:rsidP="002A04A4">
            <w:pPr>
              <w:pStyle w:val="Body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306" w:hanging="180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</w:pPr>
            <w:r w:rsidRPr="00B40884">
              <w:rPr>
                <w:rFonts w:asciiTheme="minorHAnsi" w:hAnsiTheme="minorHAnsi" w:cs="Calibri"/>
                <w:color w:val="auto"/>
                <w:sz w:val="20"/>
                <w:szCs w:val="20"/>
                <w:lang w:val="ru-RU"/>
              </w:rPr>
              <w:t>Организуйте ознакомительные занятия, чтобы лица, которых это касается, знали о работе механизма.</w:t>
            </w:r>
          </w:p>
        </w:tc>
      </w:tr>
    </w:tbl>
    <w:p w:rsidR="00A06CF4" w:rsidRPr="00B40884" w:rsidRDefault="00A06CF4" w:rsidP="00C52397">
      <w:pPr>
        <w:pStyle w:val="Body"/>
        <w:tabs>
          <w:tab w:val="left" w:pos="288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  <w:sz w:val="22"/>
          <w:szCs w:val="22"/>
          <w:lang w:val="ru-RU"/>
        </w:rPr>
      </w:pPr>
    </w:p>
    <w:sectPr w:rsidR="00A06CF4" w:rsidRPr="00B40884" w:rsidSect="00FE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734" w:rsidRDefault="006E0734" w:rsidP="00FE49D3">
      <w:pPr>
        <w:spacing w:after="0" w:line="240" w:lineRule="auto"/>
      </w:pPr>
      <w:r>
        <w:separator/>
      </w:r>
    </w:p>
  </w:endnote>
  <w:endnote w:type="continuationSeparator" w:id="0">
    <w:p w:rsidR="006E0734" w:rsidRDefault="006E0734" w:rsidP="00FE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734" w:rsidRDefault="006E0734" w:rsidP="00FE49D3">
      <w:pPr>
        <w:spacing w:after="0" w:line="240" w:lineRule="auto"/>
      </w:pPr>
      <w:r>
        <w:separator/>
      </w:r>
    </w:p>
  </w:footnote>
  <w:footnote w:type="continuationSeparator" w:id="0">
    <w:p w:rsidR="006E0734" w:rsidRDefault="006E0734" w:rsidP="00FE4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013F"/>
    <w:multiLevelType w:val="hybridMultilevel"/>
    <w:tmpl w:val="1328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1F36"/>
    <w:multiLevelType w:val="hybridMultilevel"/>
    <w:tmpl w:val="C7049856"/>
    <w:lvl w:ilvl="0" w:tplc="ACACB4B6">
      <w:start w:val="1"/>
      <w:numFmt w:val="bullet"/>
      <w:lvlText w:val=""/>
      <w:lvlJc w:val="left"/>
      <w:pPr>
        <w:ind w:left="644" w:hanging="360"/>
      </w:pPr>
      <w:rPr>
        <w:rFonts w:ascii="Symbol" w:hAnsi="Symbol" w:hint="default"/>
        <w:color w:val="auto"/>
        <w:sz w:val="20"/>
        <w:lang w:val="ru-RU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16E20"/>
    <w:multiLevelType w:val="hybridMultilevel"/>
    <w:tmpl w:val="9A08B2F2"/>
    <w:lvl w:ilvl="0" w:tplc="0BA88408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86AE6"/>
    <w:multiLevelType w:val="hybridMultilevel"/>
    <w:tmpl w:val="86D640B2"/>
    <w:lvl w:ilvl="0" w:tplc="4448E9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2296B"/>
    <w:multiLevelType w:val="hybridMultilevel"/>
    <w:tmpl w:val="27B80D8A"/>
    <w:lvl w:ilvl="0" w:tplc="FD42780E">
      <w:numFmt w:val="bullet"/>
      <w:lvlText w:val="-"/>
      <w:lvlJc w:val="left"/>
      <w:pPr>
        <w:ind w:left="644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A6F746F"/>
    <w:multiLevelType w:val="hybridMultilevel"/>
    <w:tmpl w:val="3FB8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728F2"/>
    <w:multiLevelType w:val="hybridMultilevel"/>
    <w:tmpl w:val="EB64F55A"/>
    <w:lvl w:ilvl="0" w:tplc="4A4CB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A5FB9"/>
    <w:multiLevelType w:val="hybridMultilevel"/>
    <w:tmpl w:val="E75C7B0A"/>
    <w:lvl w:ilvl="0" w:tplc="1B025CE2">
      <w:numFmt w:val="bullet"/>
      <w:lvlText w:val="-"/>
      <w:lvlJc w:val="left"/>
      <w:pPr>
        <w:ind w:left="1080" w:hanging="360"/>
      </w:pPr>
      <w:rPr>
        <w:rFonts w:ascii="Calibri" w:eastAsia="ヒラギノ角ゴ Pro W3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9D3"/>
    <w:rsid w:val="000056F8"/>
    <w:rsid w:val="00006CB3"/>
    <w:rsid w:val="000212FB"/>
    <w:rsid w:val="00024A02"/>
    <w:rsid w:val="0007478C"/>
    <w:rsid w:val="000821FC"/>
    <w:rsid w:val="00090BF8"/>
    <w:rsid w:val="000B0D95"/>
    <w:rsid w:val="000C0FDA"/>
    <w:rsid w:val="000C57F1"/>
    <w:rsid w:val="000D4388"/>
    <w:rsid w:val="000E045A"/>
    <w:rsid w:val="000E15F5"/>
    <w:rsid w:val="000F2CB8"/>
    <w:rsid w:val="00147567"/>
    <w:rsid w:val="00153FCB"/>
    <w:rsid w:val="001556E4"/>
    <w:rsid w:val="00164EC5"/>
    <w:rsid w:val="00165DFC"/>
    <w:rsid w:val="0018555D"/>
    <w:rsid w:val="00191396"/>
    <w:rsid w:val="001A44F8"/>
    <w:rsid w:val="001A697D"/>
    <w:rsid w:val="001D0400"/>
    <w:rsid w:val="001D7F00"/>
    <w:rsid w:val="00204318"/>
    <w:rsid w:val="00204587"/>
    <w:rsid w:val="00204E69"/>
    <w:rsid w:val="0021172C"/>
    <w:rsid w:val="00241498"/>
    <w:rsid w:val="002447A4"/>
    <w:rsid w:val="00244DCC"/>
    <w:rsid w:val="00292064"/>
    <w:rsid w:val="002A04A4"/>
    <w:rsid w:val="002A7BAE"/>
    <w:rsid w:val="002B462C"/>
    <w:rsid w:val="002B4663"/>
    <w:rsid w:val="002C3EF6"/>
    <w:rsid w:val="002C6B56"/>
    <w:rsid w:val="002C7B90"/>
    <w:rsid w:val="0030550C"/>
    <w:rsid w:val="00306163"/>
    <w:rsid w:val="00306344"/>
    <w:rsid w:val="00307BAA"/>
    <w:rsid w:val="00312660"/>
    <w:rsid w:val="003151B7"/>
    <w:rsid w:val="003308A1"/>
    <w:rsid w:val="00331BCE"/>
    <w:rsid w:val="00336779"/>
    <w:rsid w:val="003421D8"/>
    <w:rsid w:val="00354618"/>
    <w:rsid w:val="00354944"/>
    <w:rsid w:val="00377181"/>
    <w:rsid w:val="00384138"/>
    <w:rsid w:val="00397E4E"/>
    <w:rsid w:val="003A319D"/>
    <w:rsid w:val="003B5342"/>
    <w:rsid w:val="00406B15"/>
    <w:rsid w:val="00440C4D"/>
    <w:rsid w:val="004666D8"/>
    <w:rsid w:val="004855FE"/>
    <w:rsid w:val="00495975"/>
    <w:rsid w:val="004B116D"/>
    <w:rsid w:val="004B43AA"/>
    <w:rsid w:val="004B6B48"/>
    <w:rsid w:val="004C2DD3"/>
    <w:rsid w:val="004F1950"/>
    <w:rsid w:val="004F6859"/>
    <w:rsid w:val="00511C35"/>
    <w:rsid w:val="005173F7"/>
    <w:rsid w:val="005200A2"/>
    <w:rsid w:val="005267A5"/>
    <w:rsid w:val="00556DC5"/>
    <w:rsid w:val="0056686F"/>
    <w:rsid w:val="00576F4C"/>
    <w:rsid w:val="00580499"/>
    <w:rsid w:val="00583D8E"/>
    <w:rsid w:val="005B77A8"/>
    <w:rsid w:val="005C4F1A"/>
    <w:rsid w:val="005D0CC7"/>
    <w:rsid w:val="005D1C4F"/>
    <w:rsid w:val="005D3A9C"/>
    <w:rsid w:val="005D3C22"/>
    <w:rsid w:val="005F00CB"/>
    <w:rsid w:val="006070EC"/>
    <w:rsid w:val="006247AD"/>
    <w:rsid w:val="00627A38"/>
    <w:rsid w:val="006314F7"/>
    <w:rsid w:val="00632A16"/>
    <w:rsid w:val="0063631D"/>
    <w:rsid w:val="00640B7A"/>
    <w:rsid w:val="00641223"/>
    <w:rsid w:val="006655DF"/>
    <w:rsid w:val="00673DFB"/>
    <w:rsid w:val="006A1ED0"/>
    <w:rsid w:val="006B55E7"/>
    <w:rsid w:val="006D345B"/>
    <w:rsid w:val="006E0734"/>
    <w:rsid w:val="006E139F"/>
    <w:rsid w:val="006E196A"/>
    <w:rsid w:val="006E47D3"/>
    <w:rsid w:val="00703A1E"/>
    <w:rsid w:val="00737DF5"/>
    <w:rsid w:val="00761639"/>
    <w:rsid w:val="007629E7"/>
    <w:rsid w:val="007825A5"/>
    <w:rsid w:val="0079028D"/>
    <w:rsid w:val="007A00CC"/>
    <w:rsid w:val="007A1091"/>
    <w:rsid w:val="007A6FCE"/>
    <w:rsid w:val="007B68F4"/>
    <w:rsid w:val="007C04C5"/>
    <w:rsid w:val="007D0B41"/>
    <w:rsid w:val="007D1EF1"/>
    <w:rsid w:val="00812CAA"/>
    <w:rsid w:val="0084634C"/>
    <w:rsid w:val="00863365"/>
    <w:rsid w:val="00874B96"/>
    <w:rsid w:val="00881FF6"/>
    <w:rsid w:val="008827AC"/>
    <w:rsid w:val="008B54B8"/>
    <w:rsid w:val="008B7A42"/>
    <w:rsid w:val="008E233D"/>
    <w:rsid w:val="008E2921"/>
    <w:rsid w:val="0090024A"/>
    <w:rsid w:val="009117D7"/>
    <w:rsid w:val="00935B7A"/>
    <w:rsid w:val="00943F4F"/>
    <w:rsid w:val="00950D28"/>
    <w:rsid w:val="00964D16"/>
    <w:rsid w:val="009929AA"/>
    <w:rsid w:val="009A5F00"/>
    <w:rsid w:val="009B2118"/>
    <w:rsid w:val="009C256C"/>
    <w:rsid w:val="009C64DA"/>
    <w:rsid w:val="009E222E"/>
    <w:rsid w:val="009F5673"/>
    <w:rsid w:val="00A06CF4"/>
    <w:rsid w:val="00A24F05"/>
    <w:rsid w:val="00A310B6"/>
    <w:rsid w:val="00A36759"/>
    <w:rsid w:val="00A47D8F"/>
    <w:rsid w:val="00A47DD0"/>
    <w:rsid w:val="00A578A6"/>
    <w:rsid w:val="00A65D7F"/>
    <w:rsid w:val="00A67FD1"/>
    <w:rsid w:val="00A80427"/>
    <w:rsid w:val="00A81BC8"/>
    <w:rsid w:val="00B03255"/>
    <w:rsid w:val="00B03987"/>
    <w:rsid w:val="00B057A3"/>
    <w:rsid w:val="00B05986"/>
    <w:rsid w:val="00B060DE"/>
    <w:rsid w:val="00B40884"/>
    <w:rsid w:val="00B61D33"/>
    <w:rsid w:val="00B6385F"/>
    <w:rsid w:val="00B73F77"/>
    <w:rsid w:val="00B744C9"/>
    <w:rsid w:val="00BB6D83"/>
    <w:rsid w:val="00BC5399"/>
    <w:rsid w:val="00BD1E66"/>
    <w:rsid w:val="00BE0242"/>
    <w:rsid w:val="00BE169A"/>
    <w:rsid w:val="00C129F6"/>
    <w:rsid w:val="00C247CE"/>
    <w:rsid w:val="00C326A4"/>
    <w:rsid w:val="00C3428A"/>
    <w:rsid w:val="00C47131"/>
    <w:rsid w:val="00C52397"/>
    <w:rsid w:val="00C5454C"/>
    <w:rsid w:val="00C821DB"/>
    <w:rsid w:val="00C8333D"/>
    <w:rsid w:val="00C92870"/>
    <w:rsid w:val="00CB6B8B"/>
    <w:rsid w:val="00CD0CAB"/>
    <w:rsid w:val="00D0021A"/>
    <w:rsid w:val="00D20ABE"/>
    <w:rsid w:val="00D22E39"/>
    <w:rsid w:val="00D353C7"/>
    <w:rsid w:val="00D431C9"/>
    <w:rsid w:val="00D55F2F"/>
    <w:rsid w:val="00D56D90"/>
    <w:rsid w:val="00D83C29"/>
    <w:rsid w:val="00D96F7C"/>
    <w:rsid w:val="00DC1F79"/>
    <w:rsid w:val="00DD0658"/>
    <w:rsid w:val="00DD7496"/>
    <w:rsid w:val="00DE3597"/>
    <w:rsid w:val="00DE47B3"/>
    <w:rsid w:val="00DE5148"/>
    <w:rsid w:val="00E12237"/>
    <w:rsid w:val="00E32923"/>
    <w:rsid w:val="00E465EF"/>
    <w:rsid w:val="00E50B8A"/>
    <w:rsid w:val="00E72D8B"/>
    <w:rsid w:val="00E909E2"/>
    <w:rsid w:val="00E91955"/>
    <w:rsid w:val="00E97A7C"/>
    <w:rsid w:val="00EA2567"/>
    <w:rsid w:val="00ED501E"/>
    <w:rsid w:val="00ED592E"/>
    <w:rsid w:val="00ED6350"/>
    <w:rsid w:val="00EE1BB6"/>
    <w:rsid w:val="00EE2DFA"/>
    <w:rsid w:val="00EE7E5F"/>
    <w:rsid w:val="00EF00F1"/>
    <w:rsid w:val="00F0242B"/>
    <w:rsid w:val="00F064E5"/>
    <w:rsid w:val="00F20988"/>
    <w:rsid w:val="00F61007"/>
    <w:rsid w:val="00F73C7B"/>
    <w:rsid w:val="00FC4514"/>
    <w:rsid w:val="00FD62AD"/>
    <w:rsid w:val="00F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56F8B4-2787-4BDB-8B8C-B9D4B9EC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9D3"/>
  </w:style>
  <w:style w:type="paragraph" w:styleId="Footer">
    <w:name w:val="footer"/>
    <w:basedOn w:val="Normal"/>
    <w:link w:val="FooterChar"/>
    <w:uiPriority w:val="99"/>
    <w:semiHidden/>
    <w:unhideWhenUsed/>
    <w:rsid w:val="00FE4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9D3"/>
  </w:style>
  <w:style w:type="paragraph" w:styleId="ListParagraph">
    <w:name w:val="List Paragraph"/>
    <w:basedOn w:val="Normal"/>
    <w:uiPriority w:val="34"/>
    <w:qFormat/>
    <w:rsid w:val="00FE49D3"/>
    <w:pPr>
      <w:ind w:left="720"/>
      <w:contextualSpacing/>
    </w:pPr>
  </w:style>
  <w:style w:type="table" w:styleId="TableGrid">
    <w:name w:val="Table Grid"/>
    <w:basedOn w:val="TableNormal"/>
    <w:rsid w:val="00FE4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D3"/>
    <w:rPr>
      <w:rFonts w:ascii="Tahoma" w:hAnsi="Tahoma" w:cs="Tahoma"/>
      <w:sz w:val="16"/>
      <w:szCs w:val="16"/>
    </w:rPr>
  </w:style>
  <w:style w:type="paragraph" w:customStyle="1" w:styleId="Body">
    <w:name w:val="Body"/>
    <w:rsid w:val="00812CA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4"/>
      <w:lang w:eastAsia="en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1E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1E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D1E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65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D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DFC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65DFC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4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protectioncluster.org/_assets/files/tools_and_guidance/WV_Standards_Protection_Mainstreaming_2012_EN.pdf" TargetMode="Externa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hereproject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anitarianinfo.org/iasc/pageloader.aspx?page=content-subsidi-tf_gender-gbv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http://cpwg.net/wp-content/uploads/2012/10/Minimum-standards-for-child-protection-in-humanitarian-action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.uk/url?sa=t&amp;rct=j&amp;q=disabilities%20among%20refugees%20and%20conflict-affected%20populations&amp;source=web&amp;cd=2&amp;cad=rja&amp;ved=0CCwQFjAB&amp;url=http://www.womensrefugeecommission.org/docs/disab_res_kit.pdf&amp;ei=KuGkUNuhEKuO4gSDkIHoDQ&amp;usg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44EF1-A716-4580-8E94-31BD2BD6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2708</Words>
  <Characters>15439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Rescue Committee</Company>
  <LinksUpToDate>false</LinksUpToDate>
  <CharactersWithSpaces>18111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Gergey Pasztor</dc:creator>
  <cp:lastModifiedBy>UNHCR</cp:lastModifiedBy>
  <cp:revision>6</cp:revision>
  <dcterms:created xsi:type="dcterms:W3CDTF">2016-02-29T13:38:00Z</dcterms:created>
  <dcterms:modified xsi:type="dcterms:W3CDTF">2016-02-29T15:09:00Z</dcterms:modified>
</cp:coreProperties>
</file>