
<file path=[Content_Types].xml><?xml version="1.0" encoding="utf-8"?>
<Types xmlns="http://schemas.openxmlformats.org/package/2006/content-types">
  <Default Extension="xml" ContentType="application/xml"/>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486"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8486"/>
      </w:tblGrid>
      <w:tr w:rsidR="00F17CC1" w14:paraId="471E2BA8" w14:textId="77777777">
        <w:trPr>
          <w:cantSplit/>
          <w:trHeight w:val="3485"/>
        </w:trPr>
        <w:tc>
          <w:tcPr>
            <w:tcW w:w="8486" w:type="dxa"/>
            <w:tcBorders>
              <w:bottom w:val="single" w:sz="4" w:space="0" w:color="auto"/>
            </w:tcBorders>
            <w:tcMar>
              <w:left w:w="0" w:type="dxa"/>
              <w:right w:w="0" w:type="dxa"/>
            </w:tcMar>
          </w:tcPr>
          <w:p w14:paraId="14065403" w14:textId="77777777" w:rsidR="00F17CC1" w:rsidRDefault="00F17CC1" w:rsidP="009E71F1">
            <w:pPr>
              <w:pStyle w:val="WEDC-36thWEDCConference"/>
              <w:tabs>
                <w:tab w:val="left" w:pos="7665"/>
              </w:tabs>
            </w:pPr>
            <w:bookmarkStart w:id="0" w:name="_GoBack"/>
            <w:bookmarkEnd w:id="0"/>
            <w:r>
              <w:t>3</w:t>
            </w:r>
            <w:r w:rsidR="00537C34">
              <w:t>7</w:t>
            </w:r>
            <w:r>
              <w:t xml:space="preserve">th WEDC International Conference, </w:t>
            </w:r>
            <w:r w:rsidR="00537C34">
              <w:t>Hanoi</w:t>
            </w:r>
            <w:r w:rsidR="007316B9" w:rsidRPr="007316B9">
              <w:t xml:space="preserve">, </w:t>
            </w:r>
            <w:r w:rsidR="00537C34">
              <w:t>Vietnam</w:t>
            </w:r>
            <w:r w:rsidR="007316B9" w:rsidRPr="007316B9">
              <w:t>, 201</w:t>
            </w:r>
            <w:r w:rsidR="00537C34">
              <w:t>4</w:t>
            </w:r>
          </w:p>
          <w:p w14:paraId="51D1A04D" w14:textId="77777777" w:rsidR="00F17CC1" w:rsidRDefault="00F17CC1">
            <w:pPr>
              <w:pStyle w:val="WEDC-Titleofconference"/>
              <w:tabs>
                <w:tab w:val="left" w:pos="3105"/>
              </w:tabs>
              <w:jc w:val="left"/>
            </w:pPr>
            <w:r>
              <w:tab/>
            </w:r>
          </w:p>
          <w:p w14:paraId="71FF8010" w14:textId="77777777" w:rsidR="00F17CC1" w:rsidRDefault="00537C34">
            <w:pPr>
              <w:pStyle w:val="WEDC-Titleofconference"/>
            </w:pPr>
            <w:r>
              <w:t>SUSTAINABLE WATER AND SANITATION SERVICES</w:t>
            </w:r>
          </w:p>
          <w:p w14:paraId="71E0DAB3" w14:textId="77777777" w:rsidR="00537C34" w:rsidRDefault="00537C34">
            <w:pPr>
              <w:pStyle w:val="WEDC-Titleofconference"/>
            </w:pPr>
            <w:r>
              <w:t>FOR ALL IN A FAST CHANGING WORLD</w:t>
            </w:r>
          </w:p>
          <w:p w14:paraId="5A32ECA7" w14:textId="77777777" w:rsidR="00091137" w:rsidRDefault="00091137">
            <w:pPr>
              <w:pStyle w:val="WEDC-Titleofconference"/>
            </w:pPr>
          </w:p>
          <w:p w14:paraId="6EADA499" w14:textId="4B8E9EB9" w:rsidR="00F17CC1" w:rsidRDefault="00F17CC1" w:rsidP="00061FD3">
            <w:pPr>
              <w:pStyle w:val="WEDC-Titleofpaper"/>
            </w:pPr>
            <w:r>
              <w:t xml:space="preserve"> </w:t>
            </w:r>
            <w:r w:rsidR="002F76BD">
              <w:t>Ecologica</w:t>
            </w:r>
            <w:r w:rsidR="00203428">
              <w:t>l sanitation in refugee camps: I</w:t>
            </w:r>
            <w:r w:rsidR="004E419B">
              <w:t>mplementing Urine Diversion</w:t>
            </w:r>
            <w:r w:rsidR="002F76BD">
              <w:t xml:space="preserve"> D</w:t>
            </w:r>
            <w:r w:rsidR="004E419B">
              <w:t>ry</w:t>
            </w:r>
            <w:r w:rsidR="002F76BD">
              <w:t xml:space="preserve"> Toilets in Dollo Ado</w:t>
            </w:r>
            <w:r w:rsidR="00037EA9">
              <w:t>, Ethiopia</w:t>
            </w:r>
            <w:r w:rsidR="002F76BD">
              <w:t xml:space="preserve"> </w:t>
            </w:r>
          </w:p>
          <w:p w14:paraId="16906AEF" w14:textId="77777777" w:rsidR="00F17CC1" w:rsidRDefault="00F17CC1">
            <w:pPr>
              <w:pStyle w:val="WEDC-Titleofconference"/>
            </w:pPr>
          </w:p>
          <w:p w14:paraId="3D631549" w14:textId="6A11A171" w:rsidR="00F17CC1" w:rsidRDefault="00037EA9">
            <w:pPr>
              <w:pStyle w:val="WEDC-Authorsandcountry"/>
            </w:pPr>
            <w:proofErr w:type="spellStart"/>
            <w:r>
              <w:t>P.Ngala</w:t>
            </w:r>
            <w:proofErr w:type="spellEnd"/>
            <w:r>
              <w:t>,</w:t>
            </w:r>
            <w:r w:rsidR="009E71F1">
              <w:t xml:space="preserve"> </w:t>
            </w:r>
            <w:proofErr w:type="spellStart"/>
            <w:r w:rsidR="009E71F1">
              <w:t>M.Burt</w:t>
            </w:r>
            <w:proofErr w:type="spellEnd"/>
            <w:r w:rsidR="009E71F1">
              <w:t xml:space="preserve">, </w:t>
            </w:r>
            <w:proofErr w:type="spellStart"/>
            <w:r w:rsidR="009E71F1">
              <w:t>S.Gonzag</w:t>
            </w:r>
            <w:r w:rsidR="00AA1399">
              <w:t>a</w:t>
            </w:r>
            <w:proofErr w:type="spellEnd"/>
            <w:r w:rsidR="002D747A">
              <w:t xml:space="preserve">, </w:t>
            </w:r>
            <w:proofErr w:type="spellStart"/>
            <w:r w:rsidR="002D747A">
              <w:t>A.Bastable</w:t>
            </w:r>
            <w:proofErr w:type="spellEnd"/>
            <w:r w:rsidR="002D747A">
              <w:t>,</w:t>
            </w:r>
            <w:r w:rsidR="009E308A">
              <w:t xml:space="preserve"> </w:t>
            </w:r>
            <w:r w:rsidR="00EE0245">
              <w:t>Kenya</w:t>
            </w:r>
          </w:p>
          <w:p w14:paraId="1D346FC8" w14:textId="77777777" w:rsidR="00F17CC1" w:rsidRDefault="00F17CC1">
            <w:pPr>
              <w:pStyle w:val="WEDC-Bodytext-P1"/>
            </w:pPr>
          </w:p>
          <w:p w14:paraId="7FB11276" w14:textId="77777777" w:rsidR="00F17CC1" w:rsidRDefault="00D9393E" w:rsidP="002F76BD">
            <w:pPr>
              <w:pStyle w:val="Intestazione"/>
            </w:pPr>
            <w:r>
              <w:rPr>
                <w:b/>
              </w:rPr>
              <w:t>BRIeFING</w:t>
            </w:r>
            <w:r w:rsidR="00415EE2">
              <w:rPr>
                <w:b/>
              </w:rPr>
              <w:t xml:space="preserve"> PAPER</w:t>
            </w:r>
            <w:r>
              <w:rPr>
                <w:b/>
              </w:rPr>
              <w:t xml:space="preserve"> </w:t>
            </w:r>
          </w:p>
        </w:tc>
      </w:tr>
      <w:tr w:rsidR="00F17CC1" w14:paraId="11C64D16" w14:textId="77777777">
        <w:trPr>
          <w:cantSplit/>
          <w:trHeight w:val="2111"/>
        </w:trPr>
        <w:tc>
          <w:tcPr>
            <w:tcW w:w="8486" w:type="dxa"/>
            <w:tcBorders>
              <w:top w:val="single" w:sz="4" w:space="0" w:color="auto"/>
              <w:bottom w:val="single" w:sz="4" w:space="0" w:color="auto"/>
            </w:tcBorders>
            <w:tcMar>
              <w:left w:w="0" w:type="dxa"/>
              <w:right w:w="0" w:type="dxa"/>
            </w:tcMar>
          </w:tcPr>
          <w:p w14:paraId="6B7DB05C" w14:textId="77777777" w:rsidR="00F17CC1" w:rsidRDefault="00F17CC1">
            <w:pPr>
              <w:pStyle w:val="WEDC-Abstract"/>
            </w:pPr>
          </w:p>
          <w:p w14:paraId="4FE39B94" w14:textId="2909AAF5" w:rsidR="001C564F" w:rsidRDefault="001C564F">
            <w:pPr>
              <w:pStyle w:val="WEDC-Abstract"/>
            </w:pPr>
            <w:r>
              <w:t>The choice of</w:t>
            </w:r>
            <w:r w:rsidR="00EE0245">
              <w:t xml:space="preserve"> sanitation</w:t>
            </w:r>
            <w:r>
              <w:t xml:space="preserve"> technology i</w:t>
            </w:r>
            <w:r w:rsidR="00EE0245">
              <w:t xml:space="preserve">n humanitarian crisis is based on various factors including the terrain, social and cultural norms and agency experience. </w:t>
            </w:r>
            <w:r>
              <w:t>Th</w:t>
            </w:r>
            <w:r w:rsidR="007612DE">
              <w:t xml:space="preserve">ere is the continued need </w:t>
            </w:r>
            <w:r>
              <w:t>for humanitarian response mechanisms to factor the environmental impact</w:t>
            </w:r>
            <w:r w:rsidR="007612DE">
              <w:t xml:space="preserve"> and sustainability</w:t>
            </w:r>
            <w:r>
              <w:t xml:space="preserve"> of the </w:t>
            </w:r>
            <w:r w:rsidR="0064575D">
              <w:t>technologies used</w:t>
            </w:r>
            <w:r>
              <w:t xml:space="preserve"> in the provision of safe water supply and sanitation to affected communities. </w:t>
            </w:r>
            <w:r w:rsidR="007612DE">
              <w:t>The acceptability of using ecological sanitation technologies such as Urine Diversion Dry Toilets (UDDT) in refugee contexts needs significant exploration. Using refugee camps in Dollo Ado as a case study, this</w:t>
            </w:r>
            <w:r>
              <w:t xml:space="preserve"> paper outlines how </w:t>
            </w:r>
            <w:r w:rsidR="0064575D">
              <w:t>the UDDT</w:t>
            </w:r>
            <w:r>
              <w:t xml:space="preserve"> technology has been implemented in </w:t>
            </w:r>
            <w:r w:rsidR="007612DE">
              <w:t>the context of protracted refugee camps</w:t>
            </w:r>
            <w:r>
              <w:t>, the successes and t</w:t>
            </w:r>
            <w:r w:rsidR="00F21788">
              <w:t xml:space="preserve">he areas needing further exploration </w:t>
            </w:r>
            <w:r>
              <w:t>to make it better able to be adopted across various refugee programm</w:t>
            </w:r>
            <w:r w:rsidR="007612DE">
              <w:t>e</w:t>
            </w:r>
            <w:r>
              <w:t>s</w:t>
            </w:r>
            <w:r w:rsidR="007612DE">
              <w:t xml:space="preserve"> and contexts</w:t>
            </w:r>
            <w:r>
              <w:t>.</w:t>
            </w:r>
          </w:p>
          <w:p w14:paraId="69D454CE" w14:textId="77777777" w:rsidR="00F17CC1" w:rsidRDefault="00F17CC1" w:rsidP="001C564F">
            <w:pPr>
              <w:pStyle w:val="WEDC-Abstract"/>
              <w:rPr>
                <w:i w:val="0"/>
              </w:rPr>
            </w:pPr>
          </w:p>
        </w:tc>
      </w:tr>
    </w:tbl>
    <w:p w14:paraId="7F880E32" w14:textId="77777777" w:rsidR="00F17CC1" w:rsidRDefault="00F17CC1">
      <w:pPr>
        <w:pStyle w:val="WEDC-Bodytext-P1"/>
      </w:pPr>
    </w:p>
    <w:p w14:paraId="21957FC3" w14:textId="77777777" w:rsidR="00F17CC1" w:rsidRDefault="00D26114">
      <w:pPr>
        <w:pStyle w:val="Titolo1"/>
      </w:pPr>
      <w:r>
        <w:t xml:space="preserve">Introduction </w:t>
      </w:r>
    </w:p>
    <w:p w14:paraId="7F532F62" w14:textId="218A8902" w:rsidR="00F478E6" w:rsidRDefault="00A16E59">
      <w:pPr>
        <w:pStyle w:val="WEDC-Bodytext-P1"/>
      </w:pPr>
      <w:r>
        <w:tab/>
      </w:r>
      <w:r w:rsidR="00F478E6">
        <w:t>In humanitarian crisis</w:t>
      </w:r>
      <w:r w:rsidR="00D26114">
        <w:t xml:space="preserve"> involving mass displacement of populations, </w:t>
      </w:r>
      <w:r w:rsidR="00A7452B">
        <w:t>one</w:t>
      </w:r>
      <w:r w:rsidR="00D26114">
        <w:t xml:space="preserve"> of biggest challenge</w:t>
      </w:r>
      <w:r w:rsidR="005D5485">
        <w:t>s</w:t>
      </w:r>
      <w:r w:rsidR="00F478E6">
        <w:t xml:space="preserve"> for </w:t>
      </w:r>
      <w:r w:rsidR="0064575D">
        <w:t>aid</w:t>
      </w:r>
      <w:r w:rsidR="00F478E6">
        <w:t xml:space="preserve"> agencies is the provision of adequate safe sanitation facilities for </w:t>
      </w:r>
      <w:r w:rsidR="00B654FD">
        <w:t>human excreta disposal</w:t>
      </w:r>
      <w:r w:rsidR="00D26114">
        <w:t xml:space="preserve">. </w:t>
      </w:r>
      <w:r w:rsidR="00F478E6">
        <w:t xml:space="preserve"> The task of setting up suitable sanitation facilities is often compounded by the fact that many of the </w:t>
      </w:r>
      <w:r w:rsidR="00D26114">
        <w:t>locations ide</w:t>
      </w:r>
      <w:r w:rsidR="0064575D">
        <w:t xml:space="preserve">ntified for settlement of affected </w:t>
      </w:r>
      <w:r w:rsidR="00D26114">
        <w:t>population</w:t>
      </w:r>
      <w:r w:rsidR="00F478E6">
        <w:t>s are</w:t>
      </w:r>
      <w:r w:rsidR="00A7452B">
        <w:t xml:space="preserve"> marginalised</w:t>
      </w:r>
      <w:r w:rsidR="00B654FD">
        <w:t xml:space="preserve"> and</w:t>
      </w:r>
      <w:r w:rsidR="00F478E6">
        <w:t xml:space="preserve"> in difficult terrain</w:t>
      </w:r>
      <w:r w:rsidR="00A7452B">
        <w:t>. In some cases,</w:t>
      </w:r>
      <w:r w:rsidR="00F478E6">
        <w:t xml:space="preserve"> as has been the case in many emergencies </w:t>
      </w:r>
      <w:r w:rsidR="00A7452B">
        <w:t>in Africa, what was anticipated to be a short term arrangement evolves into a longer term scenario</w:t>
      </w:r>
      <w:r w:rsidR="00F478E6">
        <w:t>.</w:t>
      </w:r>
      <w:r w:rsidR="00A7452B">
        <w:t xml:space="preserve"> </w:t>
      </w:r>
      <w:r w:rsidR="00F478E6">
        <w:t xml:space="preserve">During the initial </w:t>
      </w:r>
      <w:r w:rsidR="00A7452B">
        <w:t>emergency stage</w:t>
      </w:r>
      <w:r w:rsidR="00F21788">
        <w:t>s,</w:t>
      </w:r>
      <w:r w:rsidR="00510AB0">
        <w:t xml:space="preserve"> the go-</w:t>
      </w:r>
      <w:r w:rsidR="005D5485">
        <w:t>to options are</w:t>
      </w:r>
      <w:r w:rsidR="00F21788">
        <w:t xml:space="preserve"> faster to build, shared</w:t>
      </w:r>
      <w:r w:rsidR="00F478E6">
        <w:t xml:space="preserve"> </w:t>
      </w:r>
      <w:r w:rsidR="00A7452B">
        <w:t xml:space="preserve">sanitation solutions </w:t>
      </w:r>
      <w:r w:rsidR="009E71F1">
        <w:t>such as trench</w:t>
      </w:r>
      <w:r w:rsidR="00F478E6">
        <w:t xml:space="preserve"> and </w:t>
      </w:r>
      <w:r w:rsidR="00A7452B">
        <w:t>pit latrines</w:t>
      </w:r>
      <w:r w:rsidR="00F478E6">
        <w:t>. As the situations become protracted, agencies have to deal with</w:t>
      </w:r>
      <w:r w:rsidR="005D5485">
        <w:t xml:space="preserve"> an</w:t>
      </w:r>
      <w:r w:rsidR="00F478E6">
        <w:t xml:space="preserve"> increasing population, limited space, reduc</w:t>
      </w:r>
      <w:r w:rsidR="0064575D">
        <w:t>ed</w:t>
      </w:r>
      <w:r w:rsidR="00F478E6">
        <w:t xml:space="preserve"> funding and a pressured environmen</w:t>
      </w:r>
      <w:r w:rsidR="00F21788">
        <w:t xml:space="preserve">t, making service delivery </w:t>
      </w:r>
      <w:r w:rsidR="00F478E6">
        <w:t>more difficult.</w:t>
      </w:r>
    </w:p>
    <w:p w14:paraId="008269D4" w14:textId="6C5CF3B5" w:rsidR="00F478E6" w:rsidRDefault="00F478E6">
      <w:pPr>
        <w:pStyle w:val="WEDC-Bodytext-P1"/>
      </w:pPr>
      <w:r>
        <w:t xml:space="preserve"> </w:t>
      </w:r>
      <w:r w:rsidR="00601A48">
        <w:tab/>
      </w:r>
      <w:r w:rsidRPr="00510AB0">
        <w:t xml:space="preserve">Implementation </w:t>
      </w:r>
      <w:r w:rsidR="00D35216" w:rsidRPr="00510AB0">
        <w:t xml:space="preserve">of </w:t>
      </w:r>
      <w:r w:rsidR="0064575D" w:rsidRPr="00510AB0">
        <w:t xml:space="preserve">ecological sanitation </w:t>
      </w:r>
      <w:r w:rsidR="00F227AC" w:rsidRPr="00510AB0">
        <w:t xml:space="preserve">(Ecosan) </w:t>
      </w:r>
      <w:r w:rsidR="0064575D" w:rsidRPr="00510AB0">
        <w:t>technologies</w:t>
      </w:r>
      <w:r w:rsidR="00D35216" w:rsidRPr="00510AB0">
        <w:t xml:space="preserve"> in humanitarian contexts is</w:t>
      </w:r>
      <w:r w:rsidRPr="00510AB0">
        <w:t xml:space="preserve"> a strategy that </w:t>
      </w:r>
      <w:r w:rsidR="00510AB0" w:rsidRPr="00BC123F">
        <w:t xml:space="preserve">represents a value-added and cost-effective intervention </w:t>
      </w:r>
      <w:r w:rsidR="00A16E59">
        <w:t>that</w:t>
      </w:r>
      <w:r w:rsidR="00510AB0" w:rsidRPr="00BC123F">
        <w:t xml:space="preserve"> is aligned with the global strategic goal of moving toward sustainable solutions for humanitarian responses.</w:t>
      </w:r>
      <w:r w:rsidR="00510AB0">
        <w:rPr>
          <w:b/>
        </w:rPr>
        <w:t xml:space="preserve"> </w:t>
      </w:r>
      <w:proofErr w:type="spellStart"/>
      <w:r w:rsidR="00856B81">
        <w:t>Mwase</w:t>
      </w:r>
      <w:proofErr w:type="spellEnd"/>
      <w:r w:rsidR="00856B81">
        <w:t xml:space="preserve"> (2006) advocates that</w:t>
      </w:r>
      <w:r w:rsidR="003F065C">
        <w:t xml:space="preserve"> numerous benefits would be achieved for </w:t>
      </w:r>
      <w:r w:rsidR="00F21788">
        <w:t xml:space="preserve">both </w:t>
      </w:r>
      <w:r w:rsidR="003F065C">
        <w:t>the affected communities and host country</w:t>
      </w:r>
      <w:r w:rsidR="00856B81">
        <w:t xml:space="preserve"> if </w:t>
      </w:r>
      <w:r w:rsidR="00F227AC">
        <w:t xml:space="preserve">Ecosan </w:t>
      </w:r>
      <w:r w:rsidR="00856B81">
        <w:t>technologies are used in emergency situations and thereon</w:t>
      </w:r>
      <w:r w:rsidR="003F065C">
        <w:t xml:space="preserve">. This paper </w:t>
      </w:r>
      <w:r w:rsidR="00510AB0">
        <w:t>provides a review and case study of</w:t>
      </w:r>
      <w:r w:rsidR="003F065C">
        <w:t xml:space="preserve"> how</w:t>
      </w:r>
      <w:r w:rsidR="00532E87">
        <w:t xml:space="preserve"> the </w:t>
      </w:r>
      <w:r w:rsidR="0064575D">
        <w:t>UDDT</w:t>
      </w:r>
      <w:r w:rsidR="00532E87">
        <w:t xml:space="preserve"> technology</w:t>
      </w:r>
      <w:r w:rsidR="003F065C">
        <w:t xml:space="preserve"> has been implemented in </w:t>
      </w:r>
      <w:r w:rsidR="003879B3">
        <w:t xml:space="preserve">Hiloweyn </w:t>
      </w:r>
      <w:r w:rsidR="003F065C">
        <w:t>refugee camp</w:t>
      </w:r>
      <w:r w:rsidR="00532E87">
        <w:t xml:space="preserve"> in Dollo Ado, Ethiopia. </w:t>
      </w:r>
      <w:r w:rsidR="003879B3">
        <w:t>The UDDT technology was introduced to Hiloweyn camp, by UNHCR’s WASH Partner, Oxfam GB, when faced with a number of sanitation challenges including rocky ground and limited space.</w:t>
      </w:r>
    </w:p>
    <w:p w14:paraId="2622A6B6" w14:textId="77777777" w:rsidR="00F17CC1" w:rsidRDefault="00F17CC1" w:rsidP="00423DEF">
      <w:pPr>
        <w:pStyle w:val="WEDC-Bodytext-P2"/>
        <w:ind w:firstLine="0"/>
      </w:pPr>
    </w:p>
    <w:p w14:paraId="1A624C8B" w14:textId="77777777" w:rsidR="00F17CC1" w:rsidRDefault="00D26114">
      <w:pPr>
        <w:pStyle w:val="Titolo1"/>
      </w:pPr>
      <w:r>
        <w:t>Context</w:t>
      </w:r>
    </w:p>
    <w:p w14:paraId="481F26DB" w14:textId="0B70B478" w:rsidR="00F17CC1" w:rsidRDefault="00601A48">
      <w:pPr>
        <w:pStyle w:val="WEDC-Bodytext-P1"/>
      </w:pPr>
      <w:r>
        <w:tab/>
      </w:r>
      <w:r w:rsidR="00D35216">
        <w:t>The Dollo Ado region in s</w:t>
      </w:r>
      <w:r w:rsidR="00EB736A">
        <w:t>ou</w:t>
      </w:r>
      <w:r w:rsidR="00D35216">
        <w:t>th e</w:t>
      </w:r>
      <w:r w:rsidR="009B758B">
        <w:t>astern Ethiopia hosts one of the largest refugee operations in the world; approximately 20</w:t>
      </w:r>
      <w:r w:rsidR="00B62FA9">
        <w:t>1</w:t>
      </w:r>
      <w:r w:rsidR="009B758B">
        <w:t>,</w:t>
      </w:r>
      <w:r w:rsidR="00B62FA9">
        <w:t>1</w:t>
      </w:r>
      <w:r w:rsidR="009B758B">
        <w:t xml:space="preserve">00 persons as of </w:t>
      </w:r>
      <w:r w:rsidR="00523ECF">
        <w:t>Ma</w:t>
      </w:r>
      <w:r w:rsidR="009E71F1">
        <w:t>y, 2014</w:t>
      </w:r>
      <w:r w:rsidR="009B758B">
        <w:t>. The refugees are mostly of Somali origin who fled insecurity in their country in 2009 and more who came after the famine in 2011. The refugees are distributed in five camps</w:t>
      </w:r>
      <w:r w:rsidR="004908B3">
        <w:t xml:space="preserve">; </w:t>
      </w:r>
      <w:proofErr w:type="spellStart"/>
      <w:r w:rsidR="009B758B">
        <w:t>Bokolmanyo</w:t>
      </w:r>
      <w:proofErr w:type="spellEnd"/>
      <w:r w:rsidR="009B758B">
        <w:t xml:space="preserve">, </w:t>
      </w:r>
      <w:proofErr w:type="spellStart"/>
      <w:r w:rsidR="009B758B">
        <w:t>Melkadida</w:t>
      </w:r>
      <w:proofErr w:type="spellEnd"/>
      <w:r w:rsidR="009B758B">
        <w:t xml:space="preserve">, Kobe, Hiloweyn and </w:t>
      </w:r>
      <w:proofErr w:type="spellStart"/>
      <w:r w:rsidR="009B758B">
        <w:t>Buramino</w:t>
      </w:r>
      <w:proofErr w:type="spellEnd"/>
      <w:r w:rsidR="009B758B">
        <w:t xml:space="preserve">. While most of the camps have reached their full capacity, there are still people crossing the border from Somalia and UNHCR is progressively facing issues related to overcrowding of the camps. </w:t>
      </w:r>
    </w:p>
    <w:p w14:paraId="3D348D35" w14:textId="19651FC8" w:rsidR="00D00629" w:rsidRDefault="00601A48">
      <w:pPr>
        <w:pStyle w:val="WEDC-Bodytext-P1"/>
      </w:pPr>
      <w:r>
        <w:tab/>
      </w:r>
      <w:r w:rsidR="00D00629">
        <w:t xml:space="preserve">The choice of latrine types in these areas has been based on a myriad of factors. </w:t>
      </w:r>
      <w:proofErr w:type="spellStart"/>
      <w:r w:rsidR="00D00629">
        <w:t>Buramino</w:t>
      </w:r>
      <w:proofErr w:type="spellEnd"/>
      <w:r w:rsidR="00D00629">
        <w:t xml:space="preserve"> and Hiloweyn refugee camps are located on hard crystalline rock. The interspersed limestone with gypsum intrusion </w:t>
      </w:r>
      <w:r w:rsidR="00D00629">
        <w:lastRenderedPageBreak/>
        <w:t xml:space="preserve">require heavy machinery to break the ground formation. </w:t>
      </w:r>
      <w:proofErr w:type="spellStart"/>
      <w:r w:rsidR="00D00629">
        <w:t>Bokolmanyo</w:t>
      </w:r>
      <w:proofErr w:type="spellEnd"/>
      <w:r w:rsidR="00D00629">
        <w:t xml:space="preserve">, </w:t>
      </w:r>
      <w:proofErr w:type="spellStart"/>
      <w:r w:rsidR="00D00629">
        <w:t>Melkadida</w:t>
      </w:r>
      <w:proofErr w:type="spellEnd"/>
      <w:r w:rsidR="00D00629">
        <w:t xml:space="preserve"> and Kobe stand on moderately weathered formations that allow manual excavation of pits. While construction of pit latrines </w:t>
      </w:r>
      <w:r w:rsidR="00283018">
        <w:t>is</w:t>
      </w:r>
      <w:r w:rsidR="00D00629">
        <w:t xml:space="preserve"> relatively easier in</w:t>
      </w:r>
      <w:r w:rsidR="009E71F1">
        <w:t xml:space="preserve"> the</w:t>
      </w:r>
      <w:r w:rsidR="00D00629">
        <w:t xml:space="preserve"> </w:t>
      </w:r>
      <w:r w:rsidR="009E71F1">
        <w:t xml:space="preserve">latter </w:t>
      </w:r>
      <w:r w:rsidR="00D00629">
        <w:t xml:space="preserve">camps, the continued </w:t>
      </w:r>
      <w:r w:rsidR="00283018">
        <w:t xml:space="preserve">refugee </w:t>
      </w:r>
      <w:r w:rsidR="00D00629">
        <w:t xml:space="preserve">influx puts pressure to increase the latrine coverage in the demarcated land space. </w:t>
      </w:r>
      <w:r w:rsidR="000C4277">
        <w:t xml:space="preserve">Thus far the types of latrines that exist in </w:t>
      </w:r>
      <w:r w:rsidR="00283018">
        <w:t>Dollo</w:t>
      </w:r>
      <w:r w:rsidR="000C4277">
        <w:t xml:space="preserve"> Ado refugee camps are trench latrines constructed mainly at the peak of the emergency</w:t>
      </w:r>
      <w:r w:rsidR="00510AB0">
        <w:t>,</w:t>
      </w:r>
      <w:r w:rsidR="000C4277">
        <w:t xml:space="preserve"> communal latrines with offset pits</w:t>
      </w:r>
      <w:r w:rsidR="004908B3">
        <w:t xml:space="preserve"> or</w:t>
      </w:r>
      <w:r w:rsidR="000C4277">
        <w:t xml:space="preserve"> a direct drop hole</w:t>
      </w:r>
      <w:r w:rsidR="00510AB0">
        <w:t xml:space="preserve">, </w:t>
      </w:r>
      <w:r w:rsidR="000C4277">
        <w:t>compost</w:t>
      </w:r>
      <w:r w:rsidR="003879B3">
        <w:t>ing</w:t>
      </w:r>
      <w:r w:rsidR="000C4277">
        <w:t xml:space="preserve"> family latrines and </w:t>
      </w:r>
      <w:r w:rsidR="006929A9">
        <w:t>UDDT</w:t>
      </w:r>
      <w:r w:rsidR="000C4277">
        <w:t xml:space="preserve">. </w:t>
      </w:r>
    </w:p>
    <w:p w14:paraId="2419F735" w14:textId="77777777" w:rsidR="00D26114" w:rsidRDefault="00D26114">
      <w:pPr>
        <w:pStyle w:val="WEDC-Bodytext-P1"/>
      </w:pPr>
    </w:p>
    <w:p w14:paraId="132D74A3" w14:textId="77777777" w:rsidR="00D26114" w:rsidRDefault="00D26114" w:rsidP="00D26114">
      <w:pPr>
        <w:pStyle w:val="Titolo1"/>
      </w:pPr>
      <w:r>
        <w:t>T</w:t>
      </w:r>
      <w:r w:rsidR="000C4277">
        <w:t>he Urine Diversion and Dry Toilets T</w:t>
      </w:r>
      <w:r w:rsidR="00607EAA">
        <w:t>ech</w:t>
      </w:r>
      <w:r>
        <w:t>nology</w:t>
      </w:r>
    </w:p>
    <w:p w14:paraId="26642D32" w14:textId="79FABF26" w:rsidR="004D5CAF" w:rsidRDefault="00601A48" w:rsidP="00D26114">
      <w:pPr>
        <w:pStyle w:val="WEDC-Bodytext-P1"/>
      </w:pPr>
      <w:r>
        <w:tab/>
      </w:r>
      <w:r w:rsidR="004F2B84">
        <w:t>The Urine Diverting Dry Toilet operates without water and has a divider that allows the user to divert the urine away from th</w:t>
      </w:r>
      <w:r w:rsidR="00283018">
        <w:t>e faeces</w:t>
      </w:r>
      <w:r w:rsidR="0082341A">
        <w:t xml:space="preserve">. </w:t>
      </w:r>
      <w:r w:rsidR="00F756A1">
        <w:t xml:space="preserve">The urine </w:t>
      </w:r>
      <w:r w:rsidR="009E71F1">
        <w:t xml:space="preserve">and faeces are collected in different chambers. </w:t>
      </w:r>
      <w:r w:rsidR="004D5CAF">
        <w:t>D</w:t>
      </w:r>
      <w:r w:rsidR="00F756A1">
        <w:t>rying materi</w:t>
      </w:r>
      <w:r w:rsidR="004D5CAF">
        <w:t xml:space="preserve">al such as lime, ash or earth should be added to the faecal chamber after </w:t>
      </w:r>
      <w:r w:rsidR="006825B8">
        <w:t>defecation</w:t>
      </w:r>
      <w:r w:rsidR="00DB184F">
        <w:t>. UDDTs may be constructed with two adjacent dehydration vaults or one single vault with interch</w:t>
      </w:r>
      <w:r w:rsidR="00FF71FB">
        <w:t xml:space="preserve">angeable containers </w:t>
      </w:r>
      <w:sdt>
        <w:sdtPr>
          <w:id w:val="-310023630"/>
          <w:citation/>
        </w:sdtPr>
        <w:sdtEndPr/>
        <w:sdtContent>
          <w:r w:rsidR="00FF71FB">
            <w:fldChar w:fldCharType="begin"/>
          </w:r>
          <w:r w:rsidR="00FF71FB">
            <w:rPr>
              <w:lang w:val="en-US"/>
            </w:rPr>
            <w:instrText xml:space="preserve">CITATION Tec12 \l 1033 </w:instrText>
          </w:r>
          <w:r w:rsidR="00FF71FB">
            <w:fldChar w:fldCharType="separate"/>
          </w:r>
          <w:r w:rsidR="00DB2C7A" w:rsidRPr="00DB2C7A">
            <w:rPr>
              <w:noProof/>
              <w:lang w:val="en-US"/>
            </w:rPr>
            <w:t>(Rieck, Munch, &amp; Hoffman, 2012)</w:t>
          </w:r>
          <w:r w:rsidR="00FF71FB">
            <w:fldChar w:fldCharType="end"/>
          </w:r>
        </w:sdtContent>
      </w:sdt>
      <w:r w:rsidR="004D5CAF">
        <w:t xml:space="preserve">. The aim of UDDT is to evaporate and dry out the excreta. The moisture content is reduced as low as possible by different means; solar heat, ventilation and absorbent material addition. The addition of ashes (or any alkaline absorbent) also plays a significant role in the enhancement of the pathogen die off, reduction of fly breeding and odor </w:t>
      </w:r>
      <w:r w:rsidR="00AD3F36">
        <w:t>control</w:t>
      </w:r>
      <w:sdt>
        <w:sdtPr>
          <w:id w:val="1482811263"/>
          <w:citation/>
        </w:sdtPr>
        <w:sdtEndPr/>
        <w:sdtContent>
          <w:r w:rsidR="00AD3F36">
            <w:fldChar w:fldCharType="begin"/>
          </w:r>
          <w:r w:rsidR="00AD3F36">
            <w:rPr>
              <w:lang w:val="en-US"/>
            </w:rPr>
            <w:instrText xml:space="preserve"> CITATION Veo13 \l 1033 </w:instrText>
          </w:r>
          <w:r w:rsidR="00AD3F36">
            <w:fldChar w:fldCharType="separate"/>
          </w:r>
          <w:r w:rsidR="00DB2C7A">
            <w:rPr>
              <w:noProof/>
              <w:lang w:val="en-US"/>
            </w:rPr>
            <w:t xml:space="preserve"> </w:t>
          </w:r>
          <w:r w:rsidR="00DB2C7A" w:rsidRPr="00DB2C7A">
            <w:rPr>
              <w:noProof/>
              <w:lang w:val="en-US"/>
            </w:rPr>
            <w:t>(Veolia Environment Foundation, 2013)</w:t>
          </w:r>
          <w:r w:rsidR="00AD3F36">
            <w:fldChar w:fldCharType="end"/>
          </w:r>
        </w:sdtContent>
      </w:sdt>
      <w:r w:rsidR="004D5CAF">
        <w:t xml:space="preserve">. </w:t>
      </w:r>
    </w:p>
    <w:p w14:paraId="6C269AD2" w14:textId="7C854ED3" w:rsidR="005D6C61" w:rsidRDefault="00601A48" w:rsidP="00D26114">
      <w:pPr>
        <w:pStyle w:val="WEDC-Bodytext-P1"/>
      </w:pPr>
      <w:r>
        <w:tab/>
      </w:r>
      <w:r w:rsidR="004D5CAF">
        <w:t xml:space="preserve">After a stabilization period, it is then possible to collect the dried </w:t>
      </w:r>
      <w:r w:rsidR="0064575D">
        <w:t>excreta</w:t>
      </w:r>
      <w:r w:rsidR="004D5CAF">
        <w:t xml:space="preserve"> safely and use it as fertilizer. </w:t>
      </w:r>
      <w:r w:rsidR="009E71F1">
        <w:t>The World Health Organisation (</w:t>
      </w:r>
      <w:r w:rsidR="005D6C61">
        <w:t>WHO</w:t>
      </w:r>
      <w:r w:rsidR="009E71F1">
        <w:t>)</w:t>
      </w:r>
      <w:r w:rsidR="005D6C61">
        <w:t xml:space="preserve"> </w:t>
      </w:r>
      <w:r w:rsidR="009E71F1">
        <w:t>has provided some guidelines (</w:t>
      </w:r>
      <w:r w:rsidR="00532E87">
        <w:t>T</w:t>
      </w:r>
      <w:r w:rsidR="005D6C61">
        <w:t xml:space="preserve">able </w:t>
      </w:r>
      <w:r w:rsidR="00532E87">
        <w:t xml:space="preserve">1 </w:t>
      </w:r>
      <w:r w:rsidR="005D6C61">
        <w:t xml:space="preserve">below) on pathogen elimination </w:t>
      </w:r>
      <w:r w:rsidR="00B0704C">
        <w:t xml:space="preserve">that </w:t>
      </w:r>
      <w:r w:rsidR="005D6C61">
        <w:t xml:space="preserve">are useful in defining the stabilization period needed </w:t>
      </w:r>
      <w:r w:rsidR="004A5673">
        <w:t>for faecal sludge from the UDDT</w:t>
      </w:r>
      <w:r w:rsidR="009E71F1">
        <w:t>s</w:t>
      </w:r>
      <w:r w:rsidR="004A5673">
        <w:t xml:space="preserve">. </w:t>
      </w:r>
    </w:p>
    <w:p w14:paraId="200E6B51" w14:textId="77777777" w:rsidR="005D6C61" w:rsidRDefault="005D6C61" w:rsidP="00D26114">
      <w:pPr>
        <w:pStyle w:val="WEDC-Bodytext-P1"/>
      </w:pPr>
    </w:p>
    <w:tbl>
      <w:tblPr>
        <w:tblW w:w="8550" w:type="dxa"/>
        <w:tblInd w:w="108" w:type="dxa"/>
        <w:tblLayout w:type="fixed"/>
        <w:tblCellMar>
          <w:top w:w="108" w:type="dxa"/>
          <w:bottom w:w="108" w:type="dxa"/>
        </w:tblCellMar>
        <w:tblLook w:val="0000" w:firstRow="0" w:lastRow="0" w:firstColumn="0" w:lastColumn="0" w:noHBand="0" w:noVBand="0"/>
      </w:tblPr>
      <w:tblGrid>
        <w:gridCol w:w="2250"/>
        <w:gridCol w:w="1620"/>
        <w:gridCol w:w="4680"/>
      </w:tblGrid>
      <w:tr w:rsidR="005D6C61" w14:paraId="4CD37C57" w14:textId="77777777" w:rsidTr="00423DEF">
        <w:trPr>
          <w:cantSplit/>
        </w:trPr>
        <w:tc>
          <w:tcPr>
            <w:tcW w:w="8550" w:type="dxa"/>
            <w:gridSpan w:val="3"/>
            <w:tcBorders>
              <w:top w:val="single" w:sz="4" w:space="0" w:color="auto"/>
              <w:left w:val="single" w:sz="4" w:space="0" w:color="auto"/>
              <w:bottom w:val="single" w:sz="4" w:space="0" w:color="auto"/>
              <w:right w:val="single" w:sz="4" w:space="0" w:color="auto"/>
            </w:tcBorders>
            <w:noWrap/>
            <w:vAlign w:val="center"/>
          </w:tcPr>
          <w:p w14:paraId="6437D42C" w14:textId="758549B6" w:rsidR="005D6C61" w:rsidRDefault="005D6C61" w:rsidP="008A2ACC">
            <w:pPr>
              <w:pStyle w:val="WEDC-Tabletitle"/>
            </w:pPr>
            <w:r>
              <w:t>Ta</w:t>
            </w:r>
            <w:r w:rsidR="0095251D">
              <w:t>ble 1. WHO Recommendations for storage treatment of dry excreta and faecal sludge before use at household and municipal levels</w:t>
            </w:r>
          </w:p>
        </w:tc>
      </w:tr>
      <w:tr w:rsidR="00423DEF" w14:paraId="19E89611" w14:textId="77777777" w:rsidTr="00423DEF">
        <w:trPr>
          <w:cantSplit/>
        </w:trPr>
        <w:tc>
          <w:tcPr>
            <w:tcW w:w="2250" w:type="dxa"/>
            <w:tcBorders>
              <w:top w:val="single" w:sz="4" w:space="0" w:color="auto"/>
              <w:left w:val="single" w:sz="4" w:space="0" w:color="auto"/>
              <w:bottom w:val="single" w:sz="4" w:space="0" w:color="auto"/>
              <w:right w:val="single" w:sz="4" w:space="0" w:color="auto"/>
            </w:tcBorders>
            <w:shd w:val="clear" w:color="auto" w:fill="D9D9D9"/>
          </w:tcPr>
          <w:p w14:paraId="68560612" w14:textId="77777777" w:rsidR="00423DEF" w:rsidRDefault="00423DEF" w:rsidP="008A2ACC">
            <w:pPr>
              <w:pStyle w:val="WEDC-Tablecellheading"/>
            </w:pPr>
            <w:r>
              <w:t>Treatment</w:t>
            </w:r>
          </w:p>
        </w:tc>
        <w:tc>
          <w:tcPr>
            <w:tcW w:w="1620" w:type="dxa"/>
            <w:tcBorders>
              <w:top w:val="single" w:sz="4" w:space="0" w:color="auto"/>
              <w:left w:val="single" w:sz="4" w:space="0" w:color="auto"/>
              <w:bottom w:val="single" w:sz="4" w:space="0" w:color="auto"/>
              <w:right w:val="single" w:sz="4" w:space="0" w:color="auto"/>
            </w:tcBorders>
            <w:shd w:val="clear" w:color="auto" w:fill="D9D9D9"/>
          </w:tcPr>
          <w:p w14:paraId="4733D308" w14:textId="77777777" w:rsidR="00423DEF" w:rsidRDefault="00423DEF" w:rsidP="008A2ACC">
            <w:pPr>
              <w:pStyle w:val="WEDC-Tablecellheading"/>
              <w:jc w:val="center"/>
            </w:pPr>
            <w:r>
              <w:t>Criteria</w:t>
            </w:r>
          </w:p>
        </w:tc>
        <w:tc>
          <w:tcPr>
            <w:tcW w:w="4680" w:type="dxa"/>
            <w:tcBorders>
              <w:top w:val="single" w:sz="4" w:space="0" w:color="auto"/>
              <w:left w:val="single" w:sz="4" w:space="0" w:color="auto"/>
              <w:bottom w:val="single" w:sz="4" w:space="0" w:color="auto"/>
              <w:right w:val="single" w:sz="4" w:space="0" w:color="auto"/>
            </w:tcBorders>
            <w:shd w:val="clear" w:color="auto" w:fill="D9D9D9"/>
          </w:tcPr>
          <w:p w14:paraId="2A33A25D" w14:textId="77777777" w:rsidR="00423DEF" w:rsidRDefault="00423DEF" w:rsidP="008A2ACC">
            <w:pPr>
              <w:pStyle w:val="WEDC-Tablecellheading"/>
              <w:jc w:val="center"/>
            </w:pPr>
            <w:r>
              <w:t>Comment</w:t>
            </w:r>
          </w:p>
        </w:tc>
      </w:tr>
      <w:tr w:rsidR="00423DEF" w14:paraId="755EFE88" w14:textId="77777777" w:rsidTr="00423DEF">
        <w:trPr>
          <w:cantSplit/>
        </w:trPr>
        <w:tc>
          <w:tcPr>
            <w:tcW w:w="2250" w:type="dxa"/>
            <w:tcBorders>
              <w:top w:val="single" w:sz="4" w:space="0" w:color="auto"/>
              <w:left w:val="single" w:sz="4" w:space="0" w:color="auto"/>
              <w:bottom w:val="single" w:sz="4" w:space="0" w:color="auto"/>
              <w:right w:val="single" w:sz="4" w:space="0" w:color="auto"/>
            </w:tcBorders>
          </w:tcPr>
          <w:p w14:paraId="0AD1BA35" w14:textId="77777777" w:rsidR="00423DEF" w:rsidRDefault="00423DEF" w:rsidP="008A2ACC">
            <w:pPr>
              <w:pStyle w:val="WEDC-Tabletext"/>
            </w:pPr>
            <w:r>
              <w:t>Storage; ambient temperature 2-20°C</w:t>
            </w:r>
          </w:p>
        </w:tc>
        <w:tc>
          <w:tcPr>
            <w:tcW w:w="1620" w:type="dxa"/>
            <w:tcBorders>
              <w:top w:val="single" w:sz="4" w:space="0" w:color="auto"/>
              <w:left w:val="single" w:sz="4" w:space="0" w:color="auto"/>
              <w:bottom w:val="single" w:sz="4" w:space="0" w:color="auto"/>
              <w:right w:val="single" w:sz="4" w:space="0" w:color="auto"/>
            </w:tcBorders>
          </w:tcPr>
          <w:p w14:paraId="2AE1474A" w14:textId="77777777" w:rsidR="00423DEF" w:rsidRDefault="00423DEF" w:rsidP="008A2ACC">
            <w:pPr>
              <w:pStyle w:val="WEDC-Tabletext"/>
              <w:jc w:val="center"/>
            </w:pPr>
            <w:r>
              <w:t>1.5-2 years</w:t>
            </w:r>
          </w:p>
        </w:tc>
        <w:tc>
          <w:tcPr>
            <w:tcW w:w="4680" w:type="dxa"/>
            <w:tcBorders>
              <w:top w:val="single" w:sz="4" w:space="0" w:color="auto"/>
              <w:left w:val="single" w:sz="4" w:space="0" w:color="auto"/>
              <w:bottom w:val="single" w:sz="4" w:space="0" w:color="auto"/>
              <w:right w:val="single" w:sz="4" w:space="0" w:color="auto"/>
            </w:tcBorders>
          </w:tcPr>
          <w:p w14:paraId="1F78B907" w14:textId="77777777" w:rsidR="00423DEF" w:rsidRDefault="00423DEF" w:rsidP="008A2ACC">
            <w:pPr>
              <w:pStyle w:val="WEDC-Tabletext"/>
              <w:jc w:val="center"/>
            </w:pPr>
            <w:r>
              <w:t xml:space="preserve">Will eliminate bacterial pathogens; regrowth of </w:t>
            </w:r>
            <w:proofErr w:type="spellStart"/>
            <w:r>
              <w:t>E.Coli</w:t>
            </w:r>
            <w:proofErr w:type="spellEnd"/>
            <w:r>
              <w:t xml:space="preserve"> and Salmonella may need to be considered if rewetted; will reduce viruses and parasitic protozoa below risk levels. Some soil-borne ova may persist in low numbers </w:t>
            </w:r>
          </w:p>
        </w:tc>
      </w:tr>
      <w:tr w:rsidR="00423DEF" w14:paraId="7AA09C88" w14:textId="77777777" w:rsidTr="00423DEF">
        <w:trPr>
          <w:cantSplit/>
        </w:trPr>
        <w:tc>
          <w:tcPr>
            <w:tcW w:w="2250" w:type="dxa"/>
            <w:tcBorders>
              <w:top w:val="single" w:sz="4" w:space="0" w:color="auto"/>
              <w:left w:val="single" w:sz="4" w:space="0" w:color="auto"/>
              <w:bottom w:val="single" w:sz="4" w:space="0" w:color="auto"/>
              <w:right w:val="single" w:sz="4" w:space="0" w:color="auto"/>
            </w:tcBorders>
          </w:tcPr>
          <w:p w14:paraId="5857A210" w14:textId="77777777" w:rsidR="00423DEF" w:rsidRDefault="00423DEF" w:rsidP="008A2ACC">
            <w:pPr>
              <w:pStyle w:val="WEDC-Tabletext"/>
            </w:pPr>
            <w:r>
              <w:t>Storage; ambient temperature &gt;20-35°C</w:t>
            </w:r>
          </w:p>
        </w:tc>
        <w:tc>
          <w:tcPr>
            <w:tcW w:w="1620" w:type="dxa"/>
            <w:tcBorders>
              <w:top w:val="single" w:sz="4" w:space="0" w:color="auto"/>
              <w:left w:val="single" w:sz="4" w:space="0" w:color="auto"/>
              <w:bottom w:val="single" w:sz="4" w:space="0" w:color="auto"/>
              <w:right w:val="single" w:sz="4" w:space="0" w:color="auto"/>
            </w:tcBorders>
          </w:tcPr>
          <w:p w14:paraId="34F126FD" w14:textId="77777777" w:rsidR="00423DEF" w:rsidRDefault="00423DEF" w:rsidP="008A2ACC">
            <w:pPr>
              <w:pStyle w:val="WEDC-Tabletext"/>
              <w:jc w:val="center"/>
            </w:pPr>
            <w:r>
              <w:t xml:space="preserve">&gt;1 year </w:t>
            </w:r>
          </w:p>
        </w:tc>
        <w:tc>
          <w:tcPr>
            <w:tcW w:w="4680" w:type="dxa"/>
            <w:tcBorders>
              <w:top w:val="single" w:sz="4" w:space="0" w:color="auto"/>
              <w:left w:val="single" w:sz="4" w:space="0" w:color="auto"/>
              <w:bottom w:val="single" w:sz="4" w:space="0" w:color="auto"/>
              <w:right w:val="single" w:sz="4" w:space="0" w:color="auto"/>
            </w:tcBorders>
          </w:tcPr>
          <w:p w14:paraId="22719652" w14:textId="77777777" w:rsidR="00423DEF" w:rsidRDefault="00423DEF" w:rsidP="008A2ACC">
            <w:pPr>
              <w:pStyle w:val="WEDC-Tabletext"/>
              <w:jc w:val="center"/>
            </w:pPr>
            <w:r>
              <w:t xml:space="preserve">Substantial to inactivation of viruses, bacteria and protozoa; inactivation of </w:t>
            </w:r>
            <w:proofErr w:type="spellStart"/>
            <w:r>
              <w:t>schistosome</w:t>
            </w:r>
            <w:proofErr w:type="spellEnd"/>
            <w:r>
              <w:t xml:space="preserve"> eggs (&lt;1 month); hookworm (</w:t>
            </w:r>
            <w:proofErr w:type="spellStart"/>
            <w:r>
              <w:t>Ancylostoma</w:t>
            </w:r>
            <w:proofErr w:type="spellEnd"/>
            <w:r>
              <w:t>/</w:t>
            </w:r>
            <w:proofErr w:type="spellStart"/>
            <w:r>
              <w:t>Necator</w:t>
            </w:r>
            <w:proofErr w:type="spellEnd"/>
            <w:r>
              <w:t>) and whipworm (</w:t>
            </w:r>
            <w:proofErr w:type="spellStart"/>
            <w:r>
              <w:t>Trichuris</w:t>
            </w:r>
            <w:proofErr w:type="spellEnd"/>
            <w:r>
              <w:t xml:space="preserve">); survival of certain percentage (10-30%) of </w:t>
            </w:r>
            <w:proofErr w:type="spellStart"/>
            <w:r>
              <w:t>Ascaris</w:t>
            </w:r>
            <w:proofErr w:type="spellEnd"/>
            <w:r>
              <w:t xml:space="preserve"> eggs (≥ 4 months), whereas a more or less complete inactivation of </w:t>
            </w:r>
            <w:proofErr w:type="spellStart"/>
            <w:r>
              <w:t>Ascaris</w:t>
            </w:r>
            <w:proofErr w:type="spellEnd"/>
            <w:r>
              <w:t xml:space="preserve"> eggs will occur within 1 year.</w:t>
            </w:r>
          </w:p>
        </w:tc>
      </w:tr>
      <w:tr w:rsidR="00423DEF" w14:paraId="14F688B4" w14:textId="77777777" w:rsidTr="00423DEF">
        <w:trPr>
          <w:cantSplit/>
        </w:trPr>
        <w:tc>
          <w:tcPr>
            <w:tcW w:w="2250" w:type="dxa"/>
            <w:tcBorders>
              <w:top w:val="single" w:sz="4" w:space="0" w:color="auto"/>
              <w:left w:val="single" w:sz="4" w:space="0" w:color="auto"/>
              <w:bottom w:val="single" w:sz="4" w:space="0" w:color="auto"/>
              <w:right w:val="single" w:sz="4" w:space="0" w:color="auto"/>
            </w:tcBorders>
          </w:tcPr>
          <w:p w14:paraId="7EA1F7F3" w14:textId="51CD3140" w:rsidR="00423DEF" w:rsidRDefault="00B0704C" w:rsidP="008A2ACC">
            <w:pPr>
              <w:pStyle w:val="WEDC-Tabletext"/>
            </w:pPr>
            <w:r>
              <w:t xml:space="preserve">Alkaline treatment </w:t>
            </w:r>
          </w:p>
        </w:tc>
        <w:tc>
          <w:tcPr>
            <w:tcW w:w="1620" w:type="dxa"/>
            <w:tcBorders>
              <w:top w:val="single" w:sz="4" w:space="0" w:color="auto"/>
              <w:left w:val="single" w:sz="4" w:space="0" w:color="auto"/>
              <w:bottom w:val="single" w:sz="4" w:space="0" w:color="auto"/>
              <w:right w:val="single" w:sz="4" w:space="0" w:color="auto"/>
            </w:tcBorders>
          </w:tcPr>
          <w:p w14:paraId="26B230DF" w14:textId="39B1852F" w:rsidR="00423DEF" w:rsidRDefault="00B0704C" w:rsidP="008A2ACC">
            <w:pPr>
              <w:pStyle w:val="WEDC-Tabletext"/>
              <w:jc w:val="center"/>
            </w:pPr>
            <w:r>
              <w:t>pH&gt;9 during &lt;6months</w:t>
            </w:r>
          </w:p>
        </w:tc>
        <w:tc>
          <w:tcPr>
            <w:tcW w:w="4680" w:type="dxa"/>
            <w:tcBorders>
              <w:top w:val="single" w:sz="4" w:space="0" w:color="auto"/>
              <w:left w:val="single" w:sz="4" w:space="0" w:color="auto"/>
              <w:bottom w:val="single" w:sz="4" w:space="0" w:color="auto"/>
              <w:right w:val="single" w:sz="4" w:space="0" w:color="auto"/>
            </w:tcBorders>
          </w:tcPr>
          <w:p w14:paraId="1D099DC6" w14:textId="326D3216" w:rsidR="00423DEF" w:rsidRDefault="00B0704C" w:rsidP="008A2ACC">
            <w:pPr>
              <w:pStyle w:val="WEDC-Tabletext"/>
              <w:jc w:val="center"/>
            </w:pPr>
            <w:r>
              <w:t>If temperature &gt;35°C and moisture &lt;25%, lower pH and/or wetter material will prolong the time for absolute elimination</w:t>
            </w:r>
          </w:p>
        </w:tc>
      </w:tr>
    </w:tbl>
    <w:p w14:paraId="50E717B7" w14:textId="19D535AD" w:rsidR="005D6C61" w:rsidRDefault="00691736" w:rsidP="00D26114">
      <w:pPr>
        <w:pStyle w:val="WEDC-Bodytext-P1"/>
      </w:pPr>
      <w:r>
        <w:t>Source:</w:t>
      </w:r>
      <w:r w:rsidRPr="00691736">
        <w:rPr>
          <w:noProof/>
          <w:lang w:val="en-US"/>
        </w:rPr>
        <w:t>(WHO, 2006)</w:t>
      </w:r>
    </w:p>
    <w:p w14:paraId="4C859568" w14:textId="77777777" w:rsidR="00FF169E" w:rsidRDefault="005D6C61" w:rsidP="00D26114">
      <w:pPr>
        <w:pStyle w:val="WEDC-Bodytext-P1"/>
      </w:pPr>
      <w:r>
        <w:t xml:space="preserve"> </w:t>
      </w:r>
    </w:p>
    <w:p w14:paraId="666FA3BD" w14:textId="47A0AA30" w:rsidR="00ED6E47" w:rsidRDefault="00ED6E47" w:rsidP="00D26114">
      <w:pPr>
        <w:pStyle w:val="WEDC-Bodytext-P1"/>
      </w:pPr>
      <w:r>
        <w:tab/>
        <w:t>The advantages of the UDDT technology relate t</w:t>
      </w:r>
      <w:r w:rsidR="00B435CA">
        <w:t xml:space="preserve">o both the </w:t>
      </w:r>
      <w:r w:rsidR="00280C8B">
        <w:t xml:space="preserve">potential of reuse of waste and the </w:t>
      </w:r>
      <w:r w:rsidR="00B435CA">
        <w:t>reductio</w:t>
      </w:r>
      <w:r w:rsidR="00280C8B">
        <w:t>n of contaminants</w:t>
      </w:r>
      <w:r w:rsidR="00B435CA">
        <w:t xml:space="preserve">. Urine, properly diverted from faeces, reduces the unpleasant odours and fly breeding associated with latrines. If the faeces remain dry then pathogens are not able to migrate and easily contaminate groundwater. </w:t>
      </w:r>
      <w:r w:rsidR="00914F2A">
        <w:t>The major disadvantage of UDDT is that unless the users both understand how to use the UDDT and use it properly, then there is the increased risk that the intended function of the system will not be achieved</w:t>
      </w:r>
      <w:sdt>
        <w:sdtPr>
          <w:id w:val="176547203"/>
          <w:citation/>
        </w:sdtPr>
        <w:sdtEndPr/>
        <w:sdtContent>
          <w:r w:rsidR="00914F2A">
            <w:fldChar w:fldCharType="begin"/>
          </w:r>
          <w:r w:rsidR="00DB2C7A">
            <w:rPr>
              <w:lang w:val="en-US"/>
            </w:rPr>
            <w:instrText xml:space="preserve">CITATION Kin12 \l 1033 </w:instrText>
          </w:r>
          <w:r w:rsidR="00914F2A">
            <w:fldChar w:fldCharType="separate"/>
          </w:r>
          <w:r w:rsidR="00DB2C7A">
            <w:rPr>
              <w:noProof/>
              <w:lang w:val="en-US"/>
            </w:rPr>
            <w:t xml:space="preserve"> </w:t>
          </w:r>
          <w:r w:rsidR="00DB2C7A" w:rsidRPr="00DB2C7A">
            <w:rPr>
              <w:noProof/>
              <w:lang w:val="en-US"/>
            </w:rPr>
            <w:t>(Kinstedt, 2012)</w:t>
          </w:r>
          <w:r w:rsidR="00914F2A">
            <w:fldChar w:fldCharType="end"/>
          </w:r>
        </w:sdtContent>
      </w:sdt>
      <w:r w:rsidR="004908B3">
        <w:t>.</w:t>
      </w:r>
    </w:p>
    <w:p w14:paraId="6ACE2FCF" w14:textId="14540F19" w:rsidR="0041278B" w:rsidRDefault="004908B3" w:rsidP="00D26114">
      <w:pPr>
        <w:pStyle w:val="WEDC-Bodytext-P1"/>
      </w:pPr>
      <w:r>
        <w:tab/>
      </w:r>
      <w:r w:rsidR="003879B3">
        <w:t>A</w:t>
      </w:r>
      <w:r w:rsidR="00AD3F36">
        <w:t xml:space="preserve"> study on the role of E</w:t>
      </w:r>
      <w:r w:rsidR="0041278B">
        <w:t xml:space="preserve">cosan in emergency situations, </w:t>
      </w:r>
      <w:r w:rsidR="00FC0591">
        <w:rPr>
          <w:noProof/>
          <w:lang w:val="en-US"/>
        </w:rPr>
        <w:t xml:space="preserve"> </w:t>
      </w:r>
      <w:r w:rsidR="00FC0591" w:rsidRPr="00FC0591">
        <w:rPr>
          <w:noProof/>
          <w:lang w:val="en-US"/>
        </w:rPr>
        <w:t>(Munch, Ochs, Amy , Mwase , &amp; Francois Fesselet, 2006)</w:t>
      </w:r>
      <w:r w:rsidR="00FC0591">
        <w:rPr>
          <w:lang w:val="en-US"/>
        </w:rPr>
        <w:t xml:space="preserve"> </w:t>
      </w:r>
      <w:r w:rsidR="00AD3F36">
        <w:t>propose</w:t>
      </w:r>
      <w:r w:rsidR="003879B3">
        <w:t>d</w:t>
      </w:r>
      <w:r w:rsidR="00AD3F36">
        <w:t xml:space="preserve"> that UDDT</w:t>
      </w:r>
      <w:r w:rsidR="0041278B">
        <w:t xml:space="preserve"> be considered especially in situations where there is need for alternatives to pit latrines</w:t>
      </w:r>
      <w:r w:rsidR="003879B3">
        <w:t xml:space="preserve"> </w:t>
      </w:r>
      <w:r w:rsidR="002106A3">
        <w:t>for example</w:t>
      </w:r>
      <w:r w:rsidR="0041278B">
        <w:t xml:space="preserve"> in places which have a high groundwater table, </w:t>
      </w:r>
      <w:r w:rsidR="00FC0591">
        <w:t xml:space="preserve">are </w:t>
      </w:r>
      <w:r w:rsidR="009E71F1">
        <w:t>prone to flooding or</w:t>
      </w:r>
      <w:r w:rsidR="0041278B">
        <w:t xml:space="preserve"> are hard to excavate</w:t>
      </w:r>
      <w:r w:rsidR="009E71F1">
        <w:t>.</w:t>
      </w:r>
      <w:r w:rsidR="00FC0591">
        <w:t xml:space="preserve"> </w:t>
      </w:r>
    </w:p>
    <w:p w14:paraId="109E9383" w14:textId="77777777" w:rsidR="002106A3" w:rsidRDefault="002106A3" w:rsidP="00D26114">
      <w:pPr>
        <w:pStyle w:val="Titolo1"/>
        <w:rPr>
          <w:rFonts w:ascii="Times New Roman" w:hAnsi="Times New Roman" w:cs="Times New Roman"/>
          <w:b w:val="0"/>
          <w:bCs/>
          <w:spacing w:val="-2"/>
          <w:sz w:val="20"/>
          <w:szCs w:val="20"/>
        </w:rPr>
      </w:pPr>
    </w:p>
    <w:p w14:paraId="3BC18D06" w14:textId="77777777" w:rsidR="00D26114" w:rsidRDefault="00D26114" w:rsidP="00D26114">
      <w:pPr>
        <w:pStyle w:val="Titolo1"/>
      </w:pPr>
      <w:r>
        <w:t xml:space="preserve">The Project </w:t>
      </w:r>
    </w:p>
    <w:p w14:paraId="5321B83A" w14:textId="4FF54D2D" w:rsidR="002106A3" w:rsidRPr="002106A3" w:rsidRDefault="002106A3" w:rsidP="002106A3">
      <w:pPr>
        <w:pStyle w:val="Titolo2"/>
      </w:pPr>
      <w:r>
        <w:t>Background</w:t>
      </w:r>
    </w:p>
    <w:p w14:paraId="2E8DCC1A" w14:textId="77777777" w:rsidR="002106A3" w:rsidRDefault="00601A48" w:rsidP="004D5CAF">
      <w:pPr>
        <w:pStyle w:val="WEDC-Bodytext-P1"/>
      </w:pPr>
      <w:r>
        <w:tab/>
      </w:r>
      <w:r w:rsidR="00B76F09">
        <w:t>Oxfam GB has been</w:t>
      </w:r>
      <w:r w:rsidR="00552610">
        <w:t xml:space="preserve"> </w:t>
      </w:r>
      <w:r w:rsidR="00545A87">
        <w:t xml:space="preserve">UNHCR’s </w:t>
      </w:r>
      <w:r w:rsidR="0047566F">
        <w:t xml:space="preserve">partner in charge of sanitation in the Hiloweyn camp </w:t>
      </w:r>
      <w:r w:rsidR="00B76F09">
        <w:t xml:space="preserve">ever since </w:t>
      </w:r>
      <w:r w:rsidR="0064575D">
        <w:t>it’s</w:t>
      </w:r>
      <w:r w:rsidR="00B76F09">
        <w:t xml:space="preserve"> set up</w:t>
      </w:r>
      <w:r w:rsidR="00552610">
        <w:t xml:space="preserve"> in 2011. Due to the rocky terrain, jack hamm</w:t>
      </w:r>
      <w:r w:rsidR="00390D2B">
        <w:t>ers and excavators were used</w:t>
      </w:r>
      <w:r w:rsidR="00552610">
        <w:t xml:space="preserve"> to dig pits </w:t>
      </w:r>
      <w:r w:rsidR="0064575D">
        <w:t>up to</w:t>
      </w:r>
      <w:r w:rsidR="00552610">
        <w:t xml:space="preserve"> 3 m deep for latrines.  The cost for hiring the excavators and digging was inhibitive and as such limited the numbers set </w:t>
      </w:r>
      <w:r w:rsidR="00552610">
        <w:lastRenderedPageBreak/>
        <w:t>up so that these were constructed into a block of latrines shared between 16 families. The low permeability of the ground also limited how long a latrine would be in use t</w:t>
      </w:r>
      <w:r w:rsidR="00545A87">
        <w:t>o about 2 years from a possible</w:t>
      </w:r>
      <w:r w:rsidR="00552610">
        <w:t xml:space="preserve"> 4 y</w:t>
      </w:r>
      <w:r w:rsidR="00545A87">
        <w:t>ear if the terrain was different. It is with these issues</w:t>
      </w:r>
      <w:r w:rsidR="00552610">
        <w:t xml:space="preserve"> in mind </w:t>
      </w:r>
      <w:r w:rsidR="00AA1399">
        <w:t xml:space="preserve">that WASH actors in the region explored other sanitation options and </w:t>
      </w:r>
      <w:r w:rsidR="00390D2B">
        <w:t xml:space="preserve">use of </w:t>
      </w:r>
      <w:r w:rsidR="00AA1399">
        <w:t>t</w:t>
      </w:r>
      <w:r w:rsidR="004F2B84">
        <w:t xml:space="preserve">he </w:t>
      </w:r>
      <w:r w:rsidR="00AA1399">
        <w:t>Urine Diversion Dry</w:t>
      </w:r>
      <w:r w:rsidR="00545A87">
        <w:t xml:space="preserve"> Toilet technology was introduced</w:t>
      </w:r>
      <w:sdt>
        <w:sdtPr>
          <w:id w:val="2066670718"/>
          <w:citation/>
        </w:sdtPr>
        <w:sdtEndPr/>
        <w:sdtContent>
          <w:r w:rsidR="00AA1399">
            <w:fldChar w:fldCharType="begin"/>
          </w:r>
          <w:r w:rsidR="00AA1399">
            <w:rPr>
              <w:lang w:val="en-US"/>
            </w:rPr>
            <w:instrText xml:space="preserve">CITATION Wat12 \l 1033 </w:instrText>
          </w:r>
          <w:r w:rsidR="00AA1399">
            <w:fldChar w:fldCharType="separate"/>
          </w:r>
          <w:r w:rsidR="00DB2C7A">
            <w:rPr>
              <w:noProof/>
              <w:lang w:val="en-US"/>
            </w:rPr>
            <w:t xml:space="preserve"> </w:t>
          </w:r>
          <w:r w:rsidR="00DB2C7A" w:rsidRPr="00DB2C7A">
            <w:rPr>
              <w:noProof/>
              <w:lang w:val="en-US"/>
            </w:rPr>
            <w:t>(Oxfam, 2012)</w:t>
          </w:r>
          <w:r w:rsidR="00AA1399">
            <w:fldChar w:fldCharType="end"/>
          </w:r>
        </w:sdtContent>
      </w:sdt>
      <w:r w:rsidR="00AA1399">
        <w:t xml:space="preserve">. </w:t>
      </w:r>
    </w:p>
    <w:p w14:paraId="5B8147D2" w14:textId="77777777" w:rsidR="002106A3" w:rsidRDefault="002106A3" w:rsidP="002106A3">
      <w:pPr>
        <w:pStyle w:val="Titolo2"/>
      </w:pPr>
    </w:p>
    <w:p w14:paraId="75352EB6" w14:textId="07E17F30" w:rsidR="002106A3" w:rsidRPr="002106A3" w:rsidRDefault="002106A3" w:rsidP="002106A3">
      <w:pPr>
        <w:pStyle w:val="Titolo2"/>
      </w:pPr>
      <w:r>
        <w:t>Implementation</w:t>
      </w:r>
    </w:p>
    <w:p w14:paraId="42BF3BD9" w14:textId="3F267C95" w:rsidR="002106A3" w:rsidRDefault="002106A3" w:rsidP="004D5CAF">
      <w:pPr>
        <w:pStyle w:val="WEDC-Bodytext-P1"/>
      </w:pPr>
      <w:r>
        <w:tab/>
        <w:t>The UDDT was first piloted at household level in</w:t>
      </w:r>
      <w:r w:rsidR="00280C8B">
        <w:t xml:space="preserve"> Hiloweyn camp</w:t>
      </w:r>
      <w:r>
        <w:t xml:space="preserve"> </w:t>
      </w:r>
      <w:r w:rsidR="003879B3">
        <w:t xml:space="preserve">in </w:t>
      </w:r>
      <w:r>
        <w:t>2012. A demand survey conducted after the pilot provided useful feedback for the roll out of UDDT in the camp.</w:t>
      </w:r>
      <w:r w:rsidR="00A16E59">
        <w:t xml:space="preserve"> The users shared that the stairs</w:t>
      </w:r>
      <w:r>
        <w:t xml:space="preserve"> on the original UDDT model were too high for the elderly and children and this was adjusted in the subsequent models. While plastic or ceramic molded slabs are available for UDDT, the agencies involved agreed that replication in remote set ups like Hiloweyn would make it difficult to implement and as such precast concrete urine pots were designed proving more cost effective. </w:t>
      </w:r>
    </w:p>
    <w:p w14:paraId="70CCBDD3" w14:textId="1F35679E" w:rsidR="00601A48" w:rsidRDefault="002106A3" w:rsidP="004D5CAF">
      <w:pPr>
        <w:pStyle w:val="WEDC-Bodytext-P1"/>
      </w:pPr>
      <w:r>
        <w:tab/>
      </w:r>
      <w:r w:rsidR="00AA1399">
        <w:t>The UDDT</w:t>
      </w:r>
      <w:r w:rsidR="004F2B84">
        <w:t xml:space="preserve"> is constructed on the surface of the ground, with an elevated platform consisting of two chambers. </w:t>
      </w:r>
      <w:r>
        <w:t>U</w:t>
      </w:r>
      <w:r w:rsidR="004D5CAF">
        <w:t>rine is collected in one chamber where it is partially infiltrated in the gro</w:t>
      </w:r>
      <w:r>
        <w:t>und and partly evaporated. F</w:t>
      </w:r>
      <w:r w:rsidR="004D5CAF">
        <w:t xml:space="preserve">aecal sludge is collected in another chamber </w:t>
      </w:r>
      <w:r w:rsidR="00A91C8E">
        <w:t xml:space="preserve">with ashes added through the drop hole </w:t>
      </w:r>
      <w:r w:rsidR="004D5CAF">
        <w:t xml:space="preserve">after each defecation. </w:t>
      </w:r>
      <w:r w:rsidR="00A91C8E">
        <w:t xml:space="preserve">A ventilation pipe supports the drying process in addition to controlling odor in the toilet. </w:t>
      </w:r>
    </w:p>
    <w:p w14:paraId="0B4BFBA5" w14:textId="53E540F3" w:rsidR="004D5CAF" w:rsidRDefault="005D6C61" w:rsidP="004D5CAF">
      <w:pPr>
        <w:pStyle w:val="WEDC-Bodytext-P1"/>
      </w:pPr>
      <w:r>
        <w:t xml:space="preserve">The following aspects are an important part of how UDDT is implemented in the Hiloweyn camp: </w:t>
      </w:r>
    </w:p>
    <w:p w14:paraId="7D01A1F5" w14:textId="52647F1F" w:rsidR="005D6C61" w:rsidRPr="005D6C61" w:rsidRDefault="005D6C61" w:rsidP="005D6C61">
      <w:pPr>
        <w:pStyle w:val="WEDC-Bodytextwithbulletpoint"/>
        <w:tabs>
          <w:tab w:val="left" w:pos="1134"/>
        </w:tabs>
        <w:autoSpaceDE w:val="0"/>
        <w:autoSpaceDN w:val="0"/>
        <w:adjustRightInd w:val="0"/>
      </w:pPr>
      <w:r>
        <w:rPr>
          <w:szCs w:val="21"/>
        </w:rPr>
        <w:t>Ashes are added after each defecation</w:t>
      </w:r>
      <w:r w:rsidR="00A91C8E">
        <w:rPr>
          <w:szCs w:val="21"/>
        </w:rPr>
        <w:t xml:space="preserve"> to support the drying effect and maintain alkaline conditions</w:t>
      </w:r>
    </w:p>
    <w:p w14:paraId="42AF3CF9" w14:textId="77777777" w:rsidR="005D6C61" w:rsidRPr="005D6C61" w:rsidRDefault="005D6C61" w:rsidP="005D6C61">
      <w:pPr>
        <w:pStyle w:val="WEDC-Bodytextwithbulletpoint"/>
        <w:tabs>
          <w:tab w:val="left" w:pos="1134"/>
        </w:tabs>
        <w:autoSpaceDE w:val="0"/>
        <w:autoSpaceDN w:val="0"/>
        <w:adjustRightInd w:val="0"/>
      </w:pPr>
      <w:r>
        <w:rPr>
          <w:szCs w:val="21"/>
        </w:rPr>
        <w:t>The temperature of the pit is not controlled, but is likely to be above 20°C all year long due to the geographical location of the camp</w:t>
      </w:r>
    </w:p>
    <w:p w14:paraId="57C2F7CB" w14:textId="33116944" w:rsidR="005D6C61" w:rsidRPr="004C5CBD" w:rsidRDefault="005D6C61" w:rsidP="005D6C61">
      <w:pPr>
        <w:pStyle w:val="WEDC-Bodytextwithbulletpoint"/>
        <w:tabs>
          <w:tab w:val="left" w:pos="1134"/>
        </w:tabs>
        <w:autoSpaceDE w:val="0"/>
        <w:autoSpaceDN w:val="0"/>
        <w:adjustRightInd w:val="0"/>
      </w:pPr>
      <w:r>
        <w:rPr>
          <w:szCs w:val="21"/>
        </w:rPr>
        <w:t>Having two chambers allo</w:t>
      </w:r>
      <w:r w:rsidR="00A91C8E">
        <w:rPr>
          <w:szCs w:val="21"/>
        </w:rPr>
        <w:t>ws adequate time for</w:t>
      </w:r>
      <w:r>
        <w:rPr>
          <w:szCs w:val="21"/>
        </w:rPr>
        <w:t xml:space="preserve"> proper maturation</w:t>
      </w:r>
      <w:r w:rsidR="00312B99">
        <w:rPr>
          <w:szCs w:val="21"/>
        </w:rPr>
        <w:t xml:space="preserve"> of the faecal sludge</w:t>
      </w:r>
      <w:r w:rsidR="003879B3">
        <w:rPr>
          <w:szCs w:val="21"/>
        </w:rPr>
        <w:t>.</w:t>
      </w:r>
    </w:p>
    <w:p w14:paraId="6DA910B1" w14:textId="77777777" w:rsidR="00AA0B80" w:rsidRDefault="00AA0B80" w:rsidP="00AA0B80">
      <w:pPr>
        <w:pStyle w:val="WEDC-Bodytextwithbulletpoint"/>
        <w:numPr>
          <w:ilvl w:val="0"/>
          <w:numId w:val="0"/>
        </w:numPr>
      </w:pPr>
    </w:p>
    <w:p w14:paraId="09F2505D" w14:textId="26E303E0" w:rsidR="00AA0B80" w:rsidRDefault="00312B99" w:rsidP="009E308A">
      <w:pPr>
        <w:pStyle w:val="WEDC-Bodytextwithbulletpoint"/>
        <w:numPr>
          <w:ilvl w:val="0"/>
          <w:numId w:val="0"/>
        </w:numPr>
        <w:ind w:left="240" w:hanging="240"/>
      </w:pPr>
      <w:r>
        <w:t xml:space="preserve">These </w:t>
      </w:r>
      <w:r w:rsidR="00AA0B80">
        <w:t>pH, moisture and temperature conditions</w:t>
      </w:r>
      <w:r>
        <w:t xml:space="preserve"> should facilitate the stabilization of faecal sludge by alkaline treatment and within a period of 1 year, allow for the dry sludge to be safe for handling.</w:t>
      </w:r>
      <w:r w:rsidR="0031192A">
        <w:t xml:space="preserve"> </w:t>
      </w:r>
      <w:r w:rsidR="00AA0B80">
        <w:t xml:space="preserve"> </w:t>
      </w:r>
    </w:p>
    <w:p w14:paraId="3001AF37" w14:textId="77777777" w:rsidR="005D6C61" w:rsidRDefault="005D6C61" w:rsidP="005D6C61">
      <w:pPr>
        <w:pStyle w:val="WEDC-Bodytext-P1"/>
      </w:pPr>
    </w:p>
    <w:p w14:paraId="05934E70" w14:textId="77777777" w:rsidR="006F1F7C" w:rsidRDefault="006F1F7C" w:rsidP="006F1F7C"/>
    <w:p w14:paraId="7F34E185" w14:textId="329149DE" w:rsidR="006F1F7C" w:rsidRDefault="006F1F7C" w:rsidP="006F1F7C">
      <w:pPr>
        <w:pStyle w:val="WEDC-Figuretitle"/>
        <w:jc w:val="both"/>
        <w:rPr>
          <w:rFonts w:ascii="Times New Roman" w:hAnsi="Times New Roman" w:cs="Times New Roman"/>
          <w:b w:val="0"/>
          <w:bCs/>
          <w:color w:val="000000"/>
          <w:sz w:val="20"/>
          <w:szCs w:val="24"/>
          <w:lang w:val="en-US"/>
        </w:rPr>
      </w:pPr>
      <w:r>
        <w:rPr>
          <w:rFonts w:ascii="Times New Roman" w:hAnsi="Times New Roman" w:cs="Times New Roman"/>
          <w:b w:val="0"/>
          <w:bCs/>
          <w:color w:val="000000"/>
          <w:sz w:val="20"/>
          <w:szCs w:val="24"/>
          <w:lang w:val="en-US"/>
        </w:rPr>
        <w:t xml:space="preserve">  </w:t>
      </w:r>
      <w:r>
        <w:rPr>
          <w:rFonts w:ascii="Times New Roman" w:hAnsi="Times New Roman" w:cs="Times New Roman"/>
          <w:b w:val="0"/>
          <w:bCs/>
          <w:noProof/>
          <w:color w:val="000000"/>
          <w:sz w:val="20"/>
          <w:szCs w:val="24"/>
          <w:lang w:val="it-IT" w:eastAsia="it-IT"/>
        </w:rPr>
        <w:drawing>
          <wp:inline distT="0" distB="0" distL="0" distR="0" wp14:anchorId="6B5541FC" wp14:editId="79F2C99E">
            <wp:extent cx="2914650" cy="271465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70000"/>
                              </a14:imgEffect>
                            </a14:imgLayer>
                          </a14:imgProps>
                        </a:ext>
                        <a:ext uri="{28A0092B-C50C-407E-A947-70E740481C1C}">
                          <a14:useLocalDpi xmlns:a14="http://schemas.microsoft.com/office/drawing/2010/main" val="0"/>
                        </a:ext>
                      </a:extLst>
                    </a:blip>
                    <a:srcRect/>
                    <a:stretch>
                      <a:fillRect/>
                    </a:stretch>
                  </pic:blipFill>
                  <pic:spPr bwMode="auto">
                    <a:xfrm>
                      <a:off x="0" y="0"/>
                      <a:ext cx="2914979" cy="2714957"/>
                    </a:xfrm>
                    <a:prstGeom prst="rect">
                      <a:avLst/>
                    </a:prstGeom>
                    <a:noFill/>
                  </pic:spPr>
                </pic:pic>
              </a:graphicData>
            </a:graphic>
          </wp:inline>
        </w:drawing>
      </w:r>
      <w:r>
        <w:rPr>
          <w:rFonts w:ascii="Times New Roman" w:hAnsi="Times New Roman" w:cs="Times New Roman"/>
          <w:b w:val="0"/>
          <w:bCs/>
          <w:color w:val="000000"/>
          <w:sz w:val="20"/>
          <w:szCs w:val="24"/>
          <w:lang w:val="en-US"/>
        </w:rPr>
        <w:t xml:space="preserve">  </w:t>
      </w:r>
      <w:r w:rsidR="00C37F6B">
        <w:rPr>
          <w:rFonts w:ascii="Times New Roman" w:hAnsi="Times New Roman" w:cs="Times New Roman"/>
          <w:b w:val="0"/>
          <w:bCs/>
          <w:color w:val="000000"/>
          <w:sz w:val="20"/>
          <w:szCs w:val="24"/>
          <w:lang w:val="en-US"/>
        </w:rPr>
        <w:t xml:space="preserve">       </w:t>
      </w:r>
      <w:r>
        <w:rPr>
          <w:rFonts w:ascii="Times New Roman" w:hAnsi="Times New Roman" w:cs="Times New Roman"/>
          <w:b w:val="0"/>
          <w:bCs/>
          <w:color w:val="000000"/>
          <w:sz w:val="20"/>
          <w:szCs w:val="24"/>
          <w:lang w:val="en-US"/>
        </w:rPr>
        <w:t xml:space="preserve">  </w:t>
      </w:r>
      <w:r>
        <w:rPr>
          <w:rFonts w:ascii="Times New Roman" w:hAnsi="Times New Roman" w:cs="Times New Roman"/>
          <w:b w:val="0"/>
          <w:bCs/>
          <w:noProof/>
          <w:color w:val="000000"/>
          <w:sz w:val="20"/>
          <w:szCs w:val="24"/>
          <w:lang w:val="it-IT" w:eastAsia="it-IT"/>
        </w:rPr>
        <w:drawing>
          <wp:inline distT="0" distB="0" distL="0" distR="0" wp14:anchorId="375A86E3" wp14:editId="26F575C1">
            <wp:extent cx="1731645" cy="27432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2743200"/>
                    </a:xfrm>
                    <a:prstGeom prst="rect">
                      <a:avLst/>
                    </a:prstGeom>
                    <a:noFill/>
                  </pic:spPr>
                </pic:pic>
              </a:graphicData>
            </a:graphic>
          </wp:inline>
        </w:drawing>
      </w:r>
    </w:p>
    <w:p w14:paraId="2ABCAC6B" w14:textId="77777777" w:rsidR="006F1F7C" w:rsidRDefault="006F1F7C" w:rsidP="006F1F7C">
      <w:pPr>
        <w:pStyle w:val="WEDC-Figuretitle"/>
        <w:jc w:val="both"/>
      </w:pPr>
    </w:p>
    <w:p w14:paraId="6B233FDB" w14:textId="746DAD43" w:rsidR="006F1F7C" w:rsidRDefault="006F1F7C" w:rsidP="009E308A">
      <w:pPr>
        <w:pStyle w:val="WEDC-Figuretitle"/>
        <w:rPr>
          <w:shd w:val="clear" w:color="auto" w:fill="D9D9D9"/>
        </w:rPr>
      </w:pPr>
      <w:r>
        <w:t>Figure 1. Schematic view of a UDDT                       Photograph 1: Side view of a UDDT in                  Hiloweyn camp</w:t>
      </w:r>
    </w:p>
    <w:p w14:paraId="222682B8" w14:textId="4255A986" w:rsidR="005A0884" w:rsidRDefault="006F1F7C" w:rsidP="006F1F7C">
      <w:pPr>
        <w:pStyle w:val="WEDC-Bodytext-P1"/>
      </w:pPr>
      <w:r>
        <w:t>Source: Oxfam, 2012</w:t>
      </w:r>
    </w:p>
    <w:p w14:paraId="0BDCE032" w14:textId="77777777" w:rsidR="00DB2C7A" w:rsidRDefault="00DB2C7A" w:rsidP="00601A48">
      <w:pPr>
        <w:pStyle w:val="Titolo2"/>
      </w:pPr>
    </w:p>
    <w:p w14:paraId="4D800855" w14:textId="7122E8BB" w:rsidR="00691736" w:rsidRDefault="00691736" w:rsidP="00601A48">
      <w:pPr>
        <w:pStyle w:val="Titolo2"/>
      </w:pPr>
      <w:r>
        <w:t>Findings</w:t>
      </w:r>
    </w:p>
    <w:p w14:paraId="0ED17BAD" w14:textId="6CAD3591" w:rsidR="003A6EFF" w:rsidRPr="009E308A" w:rsidRDefault="003A6EFF" w:rsidP="009E308A">
      <w:pPr>
        <w:pStyle w:val="Titolo3"/>
        <w:jc w:val="both"/>
        <w:rPr>
          <w:b w:val="0"/>
          <w:i w:val="0"/>
        </w:rPr>
      </w:pPr>
      <w:r>
        <w:rPr>
          <w:b w:val="0"/>
          <w:i w:val="0"/>
        </w:rPr>
        <w:t xml:space="preserve">It is not implicit in this approach that the users would use the compost in their gardens, since in many countries refugees are not permitted to plant their own crops. The primary rationale here is to enable users to empty their own latrines once sludge is safe to handle. In this way, it increases the ownership of the families for their latrine and eliminates the costly and time consuming activity of having to regularly desludge the latrine. While the operation and maintenance of the UDDT is simple, the design needs to </w:t>
      </w:r>
      <w:r>
        <w:rPr>
          <w:b w:val="0"/>
          <w:i w:val="0"/>
        </w:rPr>
        <w:lastRenderedPageBreak/>
        <w:t>drive the correct use of the toilets by only enabling one squat hole to be used at a time and for easy</w:t>
      </w:r>
      <w:r w:rsidR="003879B3">
        <w:rPr>
          <w:b w:val="0"/>
          <w:i w:val="0"/>
        </w:rPr>
        <w:t xml:space="preserve"> vault emptying</w:t>
      </w:r>
      <w:r>
        <w:rPr>
          <w:b w:val="0"/>
          <w:i w:val="0"/>
        </w:rPr>
        <w:t xml:space="preserve">. </w:t>
      </w:r>
    </w:p>
    <w:p w14:paraId="43CC7D4B" w14:textId="77777777" w:rsidR="00691736" w:rsidRDefault="00691736" w:rsidP="00691736">
      <w:pPr>
        <w:pStyle w:val="Titolo3"/>
      </w:pPr>
      <w:r>
        <w:t>Successes</w:t>
      </w:r>
    </w:p>
    <w:p w14:paraId="7D04D965" w14:textId="09190106" w:rsidR="00532E87" w:rsidRDefault="00CC400B" w:rsidP="00691736">
      <w:pPr>
        <w:pStyle w:val="WEDC-Bodytext-P1"/>
      </w:pPr>
      <w:r>
        <w:t xml:space="preserve">To date, </w:t>
      </w:r>
      <w:r w:rsidR="00E2618F">
        <w:t>70</w:t>
      </w:r>
      <w:r w:rsidR="0064241E">
        <w:t>0</w:t>
      </w:r>
      <w:r w:rsidR="00122C8C">
        <w:t xml:space="preserve"> </w:t>
      </w:r>
      <w:r w:rsidR="00691736">
        <w:t xml:space="preserve">family UDDTs </w:t>
      </w:r>
      <w:r w:rsidR="0064241E">
        <w:t xml:space="preserve">have been constructed and </w:t>
      </w:r>
      <w:r w:rsidR="0064575D">
        <w:t>are</w:t>
      </w:r>
      <w:r>
        <w:t xml:space="preserve"> in use</w:t>
      </w:r>
      <w:r w:rsidR="0064575D">
        <w:t xml:space="preserve">. </w:t>
      </w:r>
      <w:r w:rsidR="00532E87">
        <w:t>Some of the things that work in favour of the UDDT include:</w:t>
      </w:r>
    </w:p>
    <w:p w14:paraId="1A18AB96" w14:textId="457B7C71" w:rsidR="00532E87" w:rsidRDefault="00532E87" w:rsidP="00532E87">
      <w:pPr>
        <w:pStyle w:val="WEDC-Bodytext-P1"/>
        <w:numPr>
          <w:ilvl w:val="0"/>
          <w:numId w:val="27"/>
        </w:numPr>
      </w:pPr>
      <w:r w:rsidRPr="00B74470">
        <w:rPr>
          <w:rStyle w:val="Enfasicorsivo"/>
        </w:rPr>
        <w:t>User acceptance</w:t>
      </w:r>
      <w:r>
        <w:t>:</w:t>
      </w:r>
      <w:r w:rsidR="009D617A">
        <w:t xml:space="preserve"> according to a demand survey</w:t>
      </w:r>
      <w:sdt>
        <w:sdtPr>
          <w:id w:val="-1098326020"/>
          <w:citation/>
        </w:sdtPr>
        <w:sdtEndPr/>
        <w:sdtContent>
          <w:r w:rsidR="009D617A">
            <w:fldChar w:fldCharType="begin"/>
          </w:r>
          <w:r w:rsidR="009D617A">
            <w:rPr>
              <w:lang w:val="en-US"/>
            </w:rPr>
            <w:instrText xml:space="preserve"> CITATION Oxf12 \l 1033 </w:instrText>
          </w:r>
          <w:r w:rsidR="009D617A">
            <w:fldChar w:fldCharType="separate"/>
          </w:r>
          <w:r w:rsidR="00DB2C7A">
            <w:rPr>
              <w:noProof/>
              <w:lang w:val="en-US"/>
            </w:rPr>
            <w:t xml:space="preserve"> </w:t>
          </w:r>
          <w:r w:rsidR="00DB2C7A" w:rsidRPr="00DB2C7A">
            <w:rPr>
              <w:noProof/>
              <w:lang w:val="en-US"/>
            </w:rPr>
            <w:t>(Oxfam, 2012)</w:t>
          </w:r>
          <w:r w:rsidR="009D617A">
            <w:fldChar w:fldCharType="end"/>
          </w:r>
        </w:sdtContent>
      </w:sdt>
      <w:r w:rsidR="009D617A">
        <w:t>, the community prefer the UDDTs because they</w:t>
      </w:r>
      <w:r>
        <w:t xml:space="preserve"> </w:t>
      </w:r>
      <w:r w:rsidR="009D617A">
        <w:t>have reduced smell and</w:t>
      </w:r>
      <w:r w:rsidR="00062698">
        <w:t xml:space="preserve"> fly menace</w:t>
      </w:r>
      <w:r w:rsidR="009D617A">
        <w:t xml:space="preserve">, are easier to clean and offer more privacy than </w:t>
      </w:r>
      <w:r w:rsidR="00062698">
        <w:t>other sanitation options.</w:t>
      </w:r>
      <w:r w:rsidR="009D617A">
        <w:t xml:space="preserve"> </w:t>
      </w:r>
      <w:r w:rsidR="0087602C">
        <w:t xml:space="preserve">This takes cognizance of the additional satisfaction related to the fact that they are family rather than communal facilities. </w:t>
      </w:r>
    </w:p>
    <w:p w14:paraId="0AAB64D8" w14:textId="78B9CC11" w:rsidR="00062698" w:rsidRDefault="00062698" w:rsidP="00532E87">
      <w:pPr>
        <w:pStyle w:val="WEDC-Bodytext-P1"/>
        <w:numPr>
          <w:ilvl w:val="0"/>
          <w:numId w:val="27"/>
        </w:numPr>
      </w:pPr>
      <w:r w:rsidRPr="00B74470">
        <w:rPr>
          <w:rStyle w:val="Enfasicorsivo"/>
        </w:rPr>
        <w:t>Longevity of use</w:t>
      </w:r>
      <w:r>
        <w:t>: while the filling time for the UDDT in Hiloweyn is approxim</w:t>
      </w:r>
      <w:r w:rsidR="00312B99">
        <w:t>ately 1.2 years as compared to 2</w:t>
      </w:r>
      <w:r>
        <w:t xml:space="preserve"> years for the shared pit latrines</w:t>
      </w:r>
      <w:r w:rsidR="003F00F4">
        <w:t xml:space="preserve"> (</w:t>
      </w:r>
      <w:r w:rsidR="006825B8">
        <w:t>Veolia</w:t>
      </w:r>
      <w:r w:rsidR="00312B99">
        <w:t>, 2013</w:t>
      </w:r>
      <w:r w:rsidR="003F00F4">
        <w:t>)</w:t>
      </w:r>
      <w:r>
        <w:t xml:space="preserve">, the UDDT model allows for continuous use without having to construct a new sanitation structure. This is because it equipped with two chambers and once one is full, it is sealed off to allow for adequate stabilisation of the sludge as the </w:t>
      </w:r>
      <w:r w:rsidR="00BC123F">
        <w:rPr>
          <w:noProof/>
          <w:lang w:val="it-IT" w:eastAsia="it-IT"/>
        </w:rPr>
        <mc:AlternateContent>
          <mc:Choice Requires="wpc">
            <w:drawing>
              <wp:anchor distT="0" distB="0" distL="114300" distR="114300" simplePos="0" relativeHeight="251660288" behindDoc="0" locked="0" layoutInCell="1" allowOverlap="1" wp14:anchorId="6760286C" wp14:editId="3424F077">
                <wp:simplePos x="0" y="0"/>
                <wp:positionH relativeFrom="column">
                  <wp:posOffset>-1080135</wp:posOffset>
                </wp:positionH>
                <wp:positionV relativeFrom="paragraph">
                  <wp:posOffset>-1243965</wp:posOffset>
                </wp:positionV>
                <wp:extent cx="3086735" cy="1734820"/>
                <wp:effectExtent l="0" t="0" r="0" b="0"/>
                <wp:wrapNone/>
                <wp:docPr id="5" name="Canvas 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14:sizeRelH relativeFrom="page">
                  <wp14:pctWidth>0</wp14:pctWidth>
                </wp14:sizeRelH>
                <wp14:sizeRelV relativeFrom="page">
                  <wp14:pctHeight>0</wp14:pctHeight>
                </wp14:sizeRelV>
              </wp:anchor>
            </w:drawing>
          </mc:Choice>
          <mc:Fallback xmlns:w15="http://schemas.microsoft.com/office/word/2012/wordml">
            <w:pict>
              <v:group w14:anchorId="7AA68BFF" id="Canvas 5" o:spid="_x0000_s1026" editas="canvas" style="position:absolute;margin-left:-85.05pt;margin-top:-97.95pt;width:243.05pt;height:136.6pt;z-index:251660288" coordsize="30867,17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867;height:17348;visibility:visible;mso-wrap-style:square">
                  <v:fill o:detectmouseclick="t"/>
                  <v:path o:connecttype="none"/>
                </v:shape>
              </v:group>
            </w:pict>
          </mc:Fallback>
        </mc:AlternateContent>
      </w:r>
      <w:r>
        <w:t>other chamber is used. At a later stage, the dried sludge is removed from the chamber allowing for</w:t>
      </w:r>
      <w:r w:rsidR="00A16E59">
        <w:t xml:space="preserve"> </w:t>
      </w:r>
      <w:r w:rsidR="00BC123F">
        <w:t>furthe</w:t>
      </w:r>
      <w:r w:rsidR="00DB2C7A">
        <w:t>r</w:t>
      </w:r>
      <w:r w:rsidR="00BC123F">
        <w:t xml:space="preserve"> ‘re</w:t>
      </w:r>
      <w:r>
        <w:t xml:space="preserve">-use’. </w:t>
      </w:r>
    </w:p>
    <w:p w14:paraId="649DF0D2" w14:textId="4C7B872D" w:rsidR="00062698" w:rsidRDefault="003F00F4" w:rsidP="00532E87">
      <w:pPr>
        <w:pStyle w:val="WEDC-Bodytext-P1"/>
        <w:numPr>
          <w:ilvl w:val="0"/>
          <w:numId w:val="27"/>
        </w:numPr>
      </w:pPr>
      <w:r w:rsidRPr="00B74470">
        <w:rPr>
          <w:rStyle w:val="Enfasicorsivo"/>
        </w:rPr>
        <w:t>Environmental impact</w:t>
      </w:r>
      <w:r>
        <w:t xml:space="preserve">: </w:t>
      </w:r>
      <w:r w:rsidR="00B74470">
        <w:t xml:space="preserve">the ecological footprint of sanitation solutions in Hiloweyn is reduced as </w:t>
      </w:r>
      <w:r>
        <w:t xml:space="preserve">with the use of the UDDT, there is reduced risk of contaminating the already high ground water level. </w:t>
      </w:r>
    </w:p>
    <w:p w14:paraId="331E3241" w14:textId="2B5034B0" w:rsidR="003F00F4" w:rsidRDefault="003F00F4" w:rsidP="00532E87">
      <w:pPr>
        <w:pStyle w:val="WEDC-Bodytext-P1"/>
        <w:numPr>
          <w:ilvl w:val="0"/>
          <w:numId w:val="27"/>
        </w:numPr>
      </w:pPr>
      <w:r w:rsidRPr="00B74470">
        <w:rPr>
          <w:rStyle w:val="Enfasicorsivo"/>
        </w:rPr>
        <w:t>Cost</w:t>
      </w:r>
      <w:r>
        <w:t xml:space="preserve">: due to the rocky terrain, </w:t>
      </w:r>
      <w:r w:rsidR="00312B99">
        <w:t xml:space="preserve">the total cost of </w:t>
      </w:r>
      <w:r>
        <w:t xml:space="preserve">construction </w:t>
      </w:r>
      <w:r w:rsidR="00312B99">
        <w:t>of</w:t>
      </w:r>
      <w:r>
        <w:t xml:space="preserve"> pit latrines </w:t>
      </w:r>
      <w:r w:rsidR="009D617A">
        <w:t>used to be approximately 730USD and would still need to be replaced when full</w:t>
      </w:r>
      <w:r w:rsidR="00451812">
        <w:t>,</w:t>
      </w:r>
      <w:r w:rsidR="009D617A">
        <w:t xml:space="preserve"> while the UDDT option is at a cheaper 400USD and does not need to be replaced when full.</w:t>
      </w:r>
    </w:p>
    <w:p w14:paraId="181B6F56" w14:textId="586AD616" w:rsidR="009D617A" w:rsidRDefault="009D617A" w:rsidP="00532E87">
      <w:pPr>
        <w:pStyle w:val="WEDC-Bodytext-P1"/>
        <w:numPr>
          <w:ilvl w:val="0"/>
          <w:numId w:val="27"/>
        </w:numPr>
      </w:pPr>
      <w:r>
        <w:rPr>
          <w:rStyle w:val="Enfasicorsivo"/>
        </w:rPr>
        <w:t>Space efficiency</w:t>
      </w:r>
      <w:r w:rsidRPr="009D617A">
        <w:t>:</w:t>
      </w:r>
      <w:r>
        <w:t xml:space="preserve"> there is no need to dig additional pit latrines or build additional superstructures with the UDDT. It only needs to be emptied once a year</w:t>
      </w:r>
      <w:sdt>
        <w:sdtPr>
          <w:id w:val="1712764744"/>
          <w:citation/>
        </w:sdtPr>
        <w:sdtEndPr/>
        <w:sdtContent>
          <w:r>
            <w:fldChar w:fldCharType="begin"/>
          </w:r>
          <w:r>
            <w:rPr>
              <w:lang w:val="en-US"/>
            </w:rPr>
            <w:instrText xml:space="preserve"> CITATION Wat12 \l 1033 </w:instrText>
          </w:r>
          <w:r>
            <w:fldChar w:fldCharType="separate"/>
          </w:r>
          <w:r w:rsidR="00DB2C7A">
            <w:rPr>
              <w:noProof/>
              <w:lang w:val="en-US"/>
            </w:rPr>
            <w:t xml:space="preserve"> </w:t>
          </w:r>
          <w:r w:rsidR="00DB2C7A" w:rsidRPr="00DB2C7A">
            <w:rPr>
              <w:noProof/>
              <w:lang w:val="en-US"/>
            </w:rPr>
            <w:t>(Oxfam, 2012)</w:t>
          </w:r>
          <w:r>
            <w:fldChar w:fldCharType="end"/>
          </w:r>
        </w:sdtContent>
      </w:sdt>
      <w:r>
        <w:t xml:space="preserve">. </w:t>
      </w:r>
    </w:p>
    <w:p w14:paraId="66C9BB36" w14:textId="4FF418FE" w:rsidR="004F2B84" w:rsidRDefault="00691736" w:rsidP="00AA1399">
      <w:pPr>
        <w:pStyle w:val="WEDC-Bodytext-P1"/>
      </w:pPr>
      <w:r>
        <w:t xml:space="preserve"> </w:t>
      </w:r>
    </w:p>
    <w:tbl>
      <w:tblPr>
        <w:tblW w:w="8248" w:type="dxa"/>
        <w:jc w:val="center"/>
        <w:tblLayout w:type="fixed"/>
        <w:tblCellMar>
          <w:top w:w="108" w:type="dxa"/>
          <w:bottom w:w="108" w:type="dxa"/>
        </w:tblCellMar>
        <w:tblLook w:val="0000" w:firstRow="0" w:lastRow="0" w:firstColumn="0" w:lastColumn="0" w:noHBand="0" w:noVBand="0"/>
      </w:tblPr>
      <w:tblGrid>
        <w:gridCol w:w="3846"/>
        <w:gridCol w:w="556"/>
        <w:gridCol w:w="3846"/>
      </w:tblGrid>
      <w:tr w:rsidR="00F17CC1" w14:paraId="07FE899C" w14:textId="77777777">
        <w:trPr>
          <w:cantSplit/>
          <w:jc w:val="center"/>
        </w:trPr>
        <w:tc>
          <w:tcPr>
            <w:tcW w:w="3846" w:type="dxa"/>
          </w:tcPr>
          <w:p w14:paraId="641FEDB7" w14:textId="2A5A8D31" w:rsidR="00F17CC1" w:rsidRDefault="00BC123F" w:rsidP="00B415FA">
            <w:pPr>
              <w:pStyle w:val="WEDC-Image"/>
            </w:pPr>
            <w:r>
              <w:rPr>
                <w:noProof/>
                <w:lang w:val="it-IT" w:eastAsia="it-IT"/>
              </w:rPr>
              <w:drawing>
                <wp:anchor distT="0" distB="0" distL="114300" distR="114300" simplePos="0" relativeHeight="251662336" behindDoc="0" locked="0" layoutInCell="1" allowOverlap="1" wp14:anchorId="6EE74CBE" wp14:editId="55B05DF0">
                  <wp:simplePos x="0" y="0"/>
                  <wp:positionH relativeFrom="column">
                    <wp:posOffset>-49530</wp:posOffset>
                  </wp:positionH>
                  <wp:positionV relativeFrom="paragraph">
                    <wp:posOffset>1905</wp:posOffset>
                  </wp:positionV>
                  <wp:extent cx="2276475" cy="1736725"/>
                  <wp:effectExtent l="0" t="0" r="9525" b="0"/>
                  <wp:wrapNone/>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6475" cy="1736725"/>
                          </a:xfrm>
                          <a:prstGeom prst="rect">
                            <a:avLst/>
                          </a:prstGeom>
                          <a:noFill/>
                          <a:ln>
                            <a:noFill/>
                          </a:ln>
                          <a:extLst/>
                        </pic:spPr>
                      </pic:pic>
                    </a:graphicData>
                  </a:graphic>
                  <wp14:sizeRelH relativeFrom="margin">
                    <wp14:pctWidth>0</wp14:pctWidth>
                  </wp14:sizeRelH>
                </wp:anchor>
              </w:drawing>
            </w:r>
          </w:p>
        </w:tc>
        <w:tc>
          <w:tcPr>
            <w:tcW w:w="556" w:type="dxa"/>
            <w:tcBorders>
              <w:left w:val="nil"/>
            </w:tcBorders>
          </w:tcPr>
          <w:p w14:paraId="37EF8349" w14:textId="77777777" w:rsidR="00F17CC1" w:rsidRDefault="00F17CC1">
            <w:pPr>
              <w:pStyle w:val="WEDC-Figuretitle"/>
              <w:rPr>
                <w:bCs/>
              </w:rPr>
            </w:pPr>
          </w:p>
        </w:tc>
        <w:tc>
          <w:tcPr>
            <w:tcW w:w="3846" w:type="dxa"/>
          </w:tcPr>
          <w:p w14:paraId="7A8C6062" w14:textId="0E9C183B" w:rsidR="00902559" w:rsidRDefault="002B0EAE" w:rsidP="006825B8">
            <w:pPr>
              <w:pStyle w:val="WEDC-Image"/>
              <w:jc w:val="both"/>
            </w:pPr>
            <w:r>
              <w:rPr>
                <w:noProof/>
                <w:lang w:val="it-IT" w:eastAsia="it-IT"/>
              </w:rPr>
              <w:drawing>
                <wp:inline distT="0" distB="0" distL="0" distR="0" wp14:anchorId="74CC75AD" wp14:editId="0038658A">
                  <wp:extent cx="2810510" cy="17132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0510" cy="1713230"/>
                          </a:xfrm>
                          <a:prstGeom prst="rect">
                            <a:avLst/>
                          </a:prstGeom>
                          <a:noFill/>
                        </pic:spPr>
                      </pic:pic>
                    </a:graphicData>
                  </a:graphic>
                </wp:inline>
              </w:drawing>
            </w:r>
          </w:p>
          <w:p w14:paraId="765A79C6" w14:textId="77777777" w:rsidR="00F17CC1" w:rsidRDefault="00F17CC1" w:rsidP="00902559">
            <w:pPr>
              <w:pStyle w:val="WEDC-Image"/>
            </w:pPr>
          </w:p>
        </w:tc>
      </w:tr>
      <w:tr w:rsidR="00F17CC1" w14:paraId="614EAFCB" w14:textId="77777777">
        <w:trPr>
          <w:cantSplit/>
          <w:jc w:val="center"/>
        </w:trPr>
        <w:tc>
          <w:tcPr>
            <w:tcW w:w="3846" w:type="dxa"/>
          </w:tcPr>
          <w:p w14:paraId="3BD49585" w14:textId="77777777" w:rsidR="00F17CC1" w:rsidRDefault="00037EA9" w:rsidP="00037EA9">
            <w:pPr>
              <w:pStyle w:val="WEDC-Phototitle"/>
            </w:pPr>
            <w:r>
              <w:t>Photograph 2. UDDT Superstructure</w:t>
            </w:r>
          </w:p>
          <w:p w14:paraId="6AA3D48E" w14:textId="77777777" w:rsidR="0064575D" w:rsidRDefault="0064575D" w:rsidP="00037EA9">
            <w:pPr>
              <w:pStyle w:val="WEDC-Phototitle"/>
              <w:rPr>
                <w:b w:val="0"/>
                <w:sz w:val="16"/>
              </w:rPr>
            </w:pPr>
          </w:p>
          <w:p w14:paraId="4AF1CFB5" w14:textId="6578E987" w:rsidR="0064575D" w:rsidRPr="0064575D" w:rsidRDefault="0064575D" w:rsidP="00037EA9">
            <w:pPr>
              <w:pStyle w:val="WEDC-Phototitle"/>
              <w:rPr>
                <w:b w:val="0"/>
                <w:shd w:val="clear" w:color="auto" w:fill="D9D9D9"/>
              </w:rPr>
            </w:pPr>
            <w:r w:rsidRPr="0064575D">
              <w:rPr>
                <w:b w:val="0"/>
                <w:sz w:val="16"/>
              </w:rPr>
              <w:t>Source: Oxfam, 2012</w:t>
            </w:r>
          </w:p>
        </w:tc>
        <w:tc>
          <w:tcPr>
            <w:tcW w:w="556" w:type="dxa"/>
            <w:tcBorders>
              <w:left w:val="nil"/>
            </w:tcBorders>
          </w:tcPr>
          <w:p w14:paraId="39BA28C6" w14:textId="77777777" w:rsidR="00F17CC1" w:rsidRDefault="00F17CC1" w:rsidP="00B415FA">
            <w:pPr>
              <w:pStyle w:val="WEDC-Figuretitle"/>
              <w:jc w:val="both"/>
            </w:pPr>
          </w:p>
        </w:tc>
        <w:tc>
          <w:tcPr>
            <w:tcW w:w="3846" w:type="dxa"/>
          </w:tcPr>
          <w:p w14:paraId="3F35B70F" w14:textId="77777777" w:rsidR="00F17CC1" w:rsidRDefault="00B415FA">
            <w:pPr>
              <w:pStyle w:val="WEDC-Phototitle"/>
            </w:pPr>
            <w:r>
              <w:t xml:space="preserve">Photograph 3. Inside a UDDT </w:t>
            </w:r>
            <w:r w:rsidR="00552610">
              <w:t>with signs indicating which side is in use</w:t>
            </w:r>
          </w:p>
          <w:p w14:paraId="35BAFB7D" w14:textId="28A92A68" w:rsidR="0064575D" w:rsidRPr="0064575D" w:rsidRDefault="0064575D" w:rsidP="0064575D">
            <w:pPr>
              <w:pStyle w:val="WEDC-Phototitle"/>
              <w:rPr>
                <w:rStyle w:val="Riferimentodelicato"/>
                <w:b w:val="0"/>
                <w:sz w:val="16"/>
                <w:szCs w:val="16"/>
              </w:rPr>
            </w:pPr>
            <w:r w:rsidRPr="0064575D">
              <w:rPr>
                <w:b w:val="0"/>
                <w:sz w:val="16"/>
                <w:szCs w:val="16"/>
              </w:rPr>
              <w:t>Source: Oxfam, 2012</w:t>
            </w:r>
          </w:p>
        </w:tc>
      </w:tr>
    </w:tbl>
    <w:p w14:paraId="54DBDBE4" w14:textId="77777777" w:rsidR="00B1336A" w:rsidRDefault="00B1336A" w:rsidP="00B1336A">
      <w:pPr>
        <w:pStyle w:val="Titolo3"/>
      </w:pPr>
    </w:p>
    <w:p w14:paraId="3A556FA7" w14:textId="600D0DBE" w:rsidR="009D617A" w:rsidRDefault="00B1336A" w:rsidP="009D617A">
      <w:pPr>
        <w:pStyle w:val="Titolo3"/>
      </w:pPr>
      <w:r>
        <w:t>Challenges</w:t>
      </w:r>
      <w:r w:rsidR="004A5673">
        <w:t xml:space="preserve"> and areas of further research</w:t>
      </w:r>
    </w:p>
    <w:p w14:paraId="4AD647AA" w14:textId="6ECBE875" w:rsidR="00B415FA" w:rsidRDefault="00B1336A" w:rsidP="00B415FA">
      <w:pPr>
        <w:pStyle w:val="WEDC-Bodytext-P1"/>
      </w:pPr>
      <w:r>
        <w:t>An</w:t>
      </w:r>
      <w:r w:rsidR="00B415FA">
        <w:t xml:space="preserve"> assess</w:t>
      </w:r>
      <w:r w:rsidR="00312B99">
        <w:t>ment conducted by Veolia (2013</w:t>
      </w:r>
      <w:r w:rsidR="00037EA9">
        <w:t xml:space="preserve">) </w:t>
      </w:r>
      <w:r w:rsidR="00B415FA">
        <w:t xml:space="preserve">in the </w:t>
      </w:r>
      <w:r w:rsidR="00AD3F36">
        <w:t>Dollo</w:t>
      </w:r>
      <w:r w:rsidR="00B415FA">
        <w:t xml:space="preserve"> Ado camps</w:t>
      </w:r>
      <w:r>
        <w:t xml:space="preserve"> highlighted some technological aspects on the use of UDDT t</w:t>
      </w:r>
      <w:r w:rsidR="006929A9">
        <w:t xml:space="preserve">hat still need to be addressed: </w:t>
      </w:r>
    </w:p>
    <w:p w14:paraId="19882BB6" w14:textId="77777777" w:rsidR="00B1336A" w:rsidRDefault="00B1336A" w:rsidP="00B1336A">
      <w:pPr>
        <w:pStyle w:val="WEDC-Bodytext-P1"/>
        <w:numPr>
          <w:ilvl w:val="0"/>
          <w:numId w:val="25"/>
        </w:numPr>
      </w:pPr>
      <w:r w:rsidRPr="009E308A">
        <w:rPr>
          <w:i/>
        </w:rPr>
        <w:t>Viability of use of the dried sludge as fertilizer</w:t>
      </w:r>
      <w:r>
        <w:t xml:space="preserve">: </w:t>
      </w:r>
      <w:r w:rsidR="0062248A">
        <w:t xml:space="preserve">to be a good fertilizer the pH of the sludge needs to be alkaline and if the addition of ash has not been performed on a regular basis then the pH is likely to be low and the handling of the sludge after the stabilisation period cannot be guaranteed. </w:t>
      </w:r>
    </w:p>
    <w:p w14:paraId="1394EADF" w14:textId="2913A162" w:rsidR="00B67D80" w:rsidRDefault="0062248A" w:rsidP="00601A48">
      <w:pPr>
        <w:pStyle w:val="WEDC-Bodytext-P1"/>
        <w:numPr>
          <w:ilvl w:val="0"/>
          <w:numId w:val="25"/>
        </w:numPr>
      </w:pPr>
      <w:r w:rsidRPr="009E308A">
        <w:rPr>
          <w:i/>
        </w:rPr>
        <w:t>The</w:t>
      </w:r>
      <w:r w:rsidR="006929A9" w:rsidRPr="009E308A">
        <w:rPr>
          <w:i/>
        </w:rPr>
        <w:t xml:space="preserve"> stabilisation period </w:t>
      </w:r>
      <w:r w:rsidRPr="009E308A">
        <w:rPr>
          <w:i/>
        </w:rPr>
        <w:t>for the sludge</w:t>
      </w:r>
      <w:r>
        <w:t xml:space="preserve">: the assumption in this case is that users are diligent in ensuring that liquid does not enter the drying chamber and as such the moisture level is below 25%. If the moisture level is higher </w:t>
      </w:r>
      <w:r w:rsidR="00B67D80">
        <w:t>then,</w:t>
      </w:r>
      <w:r>
        <w:t xml:space="preserve"> a longer stab</w:t>
      </w:r>
      <w:r w:rsidR="006929A9">
        <w:t>ilisation period</w:t>
      </w:r>
      <w:r>
        <w:t xml:space="preserve"> or </w:t>
      </w:r>
      <w:r w:rsidR="00B67D80">
        <w:t xml:space="preserve">an oven would be needed to dry the sludge. </w:t>
      </w:r>
    </w:p>
    <w:p w14:paraId="3C58122F" w14:textId="050DC270" w:rsidR="00B415FA" w:rsidRDefault="004F695A" w:rsidP="00B415FA">
      <w:pPr>
        <w:pStyle w:val="WEDC-Bodytext-P1"/>
      </w:pPr>
      <w:r>
        <w:t xml:space="preserve">In order to facilitate </w:t>
      </w:r>
      <w:r w:rsidR="00312B99">
        <w:t>replic</w:t>
      </w:r>
      <w:r w:rsidR="0087602C">
        <w:t>ation</w:t>
      </w:r>
      <w:r>
        <w:t xml:space="preserve"> of this technology in </w:t>
      </w:r>
      <w:r w:rsidR="00C677C6">
        <w:t xml:space="preserve">various humanitarian crisis </w:t>
      </w:r>
      <w:r>
        <w:t>settings; UNHCR i</w:t>
      </w:r>
      <w:r w:rsidR="003879B3">
        <w:t>n conjunction with Centre for Disease Control (CDC) and Oxfam, are</w:t>
      </w:r>
      <w:r>
        <w:t xml:space="preserve"> proposing to undertake further research in the following areas: </w:t>
      </w:r>
    </w:p>
    <w:p w14:paraId="40EE7A0F" w14:textId="73111191" w:rsidR="00C677C6" w:rsidRDefault="00C677C6" w:rsidP="0002277E">
      <w:pPr>
        <w:pStyle w:val="WEDC-Bodytext-P1"/>
        <w:numPr>
          <w:ilvl w:val="0"/>
          <w:numId w:val="26"/>
        </w:numPr>
      </w:pPr>
      <w:r>
        <w:lastRenderedPageBreak/>
        <w:t>Assessment of socio-cultural considerations that are likely to influence acceptability and other factors required for effective use of the design</w:t>
      </w:r>
    </w:p>
    <w:p w14:paraId="181041EB" w14:textId="7BE8F70F" w:rsidR="005B0BA8" w:rsidRDefault="00C677C6" w:rsidP="009E308A">
      <w:pPr>
        <w:pStyle w:val="WEDC-Bodytext-P1"/>
        <w:numPr>
          <w:ilvl w:val="0"/>
          <w:numId w:val="26"/>
        </w:numPr>
      </w:pPr>
      <w:r>
        <w:t xml:space="preserve">Identification of appropriate methods to improve pathogen inactivation to ensure the safe and hygienic disposal of human waste. </w:t>
      </w:r>
    </w:p>
    <w:p w14:paraId="53E87653" w14:textId="413AD9B8" w:rsidR="005B0BA8" w:rsidRDefault="005B0BA8" w:rsidP="005B0BA8">
      <w:pPr>
        <w:pStyle w:val="Titolo2"/>
      </w:pPr>
      <w:r>
        <w:t>Conclusion</w:t>
      </w:r>
    </w:p>
    <w:p w14:paraId="7FB79778" w14:textId="3BA1E2F0" w:rsidR="005B0BA8" w:rsidRDefault="00630BDF" w:rsidP="005B0BA8">
      <w:pPr>
        <w:pStyle w:val="WEDC-Bodytext-P1"/>
      </w:pPr>
      <w:r>
        <w:t>There is a</w:t>
      </w:r>
      <w:r w:rsidR="005B0BA8">
        <w:t xml:space="preserve"> lot of scope for the use of </w:t>
      </w:r>
      <w:r w:rsidR="00601A48">
        <w:t>ecological</w:t>
      </w:r>
      <w:r w:rsidR="005B0BA8">
        <w:t xml:space="preserve"> sanitation technologies in humanitarian operations whether at the initial response stage or </w:t>
      </w:r>
      <w:r w:rsidR="00451812">
        <w:t xml:space="preserve">in </w:t>
      </w:r>
      <w:r w:rsidR="005B0BA8">
        <w:t xml:space="preserve">long term situations. The emphasis continues to be </w:t>
      </w:r>
      <w:r w:rsidR="003879B3">
        <w:t xml:space="preserve">on </w:t>
      </w:r>
      <w:r w:rsidR="005B0BA8">
        <w:t xml:space="preserve">the promotion of sustainable sanitation </w:t>
      </w:r>
      <w:r>
        <w:t>options, which</w:t>
      </w:r>
      <w:r w:rsidR="005B0BA8">
        <w:t xml:space="preserve"> in addition to meeting the needs of the population </w:t>
      </w:r>
      <w:r w:rsidR="00312B99">
        <w:t>for</w:t>
      </w:r>
      <w:r w:rsidR="005B0BA8">
        <w:t xml:space="preserve"> safe sanitation also </w:t>
      </w:r>
      <w:r>
        <w:t>reduce</w:t>
      </w:r>
      <w:r w:rsidR="00312B99">
        <w:t>s</w:t>
      </w:r>
      <w:r>
        <w:t xml:space="preserve"> the pollution</w:t>
      </w:r>
      <w:r w:rsidR="005B0BA8">
        <w:t xml:space="preserve"> threat to the environment they rely on</w:t>
      </w:r>
      <w:r w:rsidR="00DB2C7A">
        <w:t xml:space="preserve">. </w:t>
      </w:r>
      <w:r w:rsidR="005B0BA8">
        <w:t xml:space="preserve">While there are still gaps encountered in the appropriate use of UDDT in limited settings such as refugee camps, further exploration can serve to </w:t>
      </w:r>
      <w:r>
        <w:t xml:space="preserve">address these issues and increase the variety of sanitation options available to humanitarian actors. </w:t>
      </w:r>
    </w:p>
    <w:p w14:paraId="2851DE4A" w14:textId="77777777" w:rsidR="002D747A" w:rsidRDefault="002D747A" w:rsidP="002D747A">
      <w:pPr>
        <w:pStyle w:val="WEDC-Figuretitle"/>
        <w:jc w:val="both"/>
      </w:pPr>
    </w:p>
    <w:p w14:paraId="67C98855" w14:textId="77777777" w:rsidR="002D747A" w:rsidRDefault="002D747A" w:rsidP="002D747A">
      <w:pPr>
        <w:pStyle w:val="WEDC-Referencesheading"/>
      </w:pPr>
      <w:r>
        <w:t>Acknowledgements</w:t>
      </w:r>
    </w:p>
    <w:p w14:paraId="398021B6" w14:textId="4896243D" w:rsidR="002D747A" w:rsidRDefault="002D747A" w:rsidP="002D747A">
      <w:pPr>
        <w:pStyle w:val="WEDC-Bodytext-P1"/>
      </w:pPr>
      <w:r>
        <w:t>The authors would like to acknowledge Oxfam</w:t>
      </w:r>
      <w:r w:rsidR="00CD6B20">
        <w:t xml:space="preserve"> GB</w:t>
      </w:r>
      <w:r>
        <w:t>, UNHCR’s partner agency, responsible for the implementation of Urine Diversion Dry Toilets in Dollo Ado, Ethiopia</w:t>
      </w:r>
      <w:r w:rsidR="00CD6B20">
        <w:t xml:space="preserve"> with initial funding from the Oxfam Innovation Fund</w:t>
      </w:r>
      <w:r>
        <w:t xml:space="preserve">. Thank you also to the UNHCR staff in Ethiopia for their support in providing information on this project. </w:t>
      </w:r>
    </w:p>
    <w:p w14:paraId="039A0E20" w14:textId="77777777" w:rsidR="002D747A" w:rsidRDefault="002D747A" w:rsidP="002D747A">
      <w:pPr>
        <w:pStyle w:val="WEDC-Bodytext-P1"/>
      </w:pPr>
    </w:p>
    <w:p w14:paraId="43120133" w14:textId="36B80BD9" w:rsidR="00037EA9" w:rsidRDefault="00F17CC1" w:rsidP="002C7EF1">
      <w:pPr>
        <w:pStyle w:val="WEDC-Referencesheading"/>
      </w:pPr>
      <w:r>
        <w:t>References</w:t>
      </w:r>
    </w:p>
    <w:sdt>
      <w:sdtPr>
        <w:rPr>
          <w:rFonts w:ascii="Times New Roman" w:hAnsi="Times New Roman" w:cs="Times New Roman"/>
          <w:b w:val="0"/>
          <w:bCs/>
          <w:szCs w:val="24"/>
          <w:lang w:val="en-US"/>
        </w:rPr>
        <w:id w:val="-263540976"/>
        <w:docPartObj>
          <w:docPartGallery w:val="Bibliographies"/>
          <w:docPartUnique/>
        </w:docPartObj>
      </w:sdtPr>
      <w:sdtEndPr/>
      <w:sdtContent>
        <w:p w14:paraId="5C183F61" w14:textId="2DBD2BB1" w:rsidR="00037EA9" w:rsidRDefault="00037EA9" w:rsidP="009E308A">
          <w:pPr>
            <w:pStyle w:val="WEDC-Referencesheading"/>
            <w:ind w:left="0" w:firstLine="0"/>
          </w:pPr>
        </w:p>
        <w:sdt>
          <w:sdtPr>
            <w:id w:val="-573587230"/>
            <w:bibliography/>
          </w:sdtPr>
          <w:sdtEndPr/>
          <w:sdtContent>
            <w:p w14:paraId="08A510AB" w14:textId="4C8BF5BE" w:rsidR="00DB2C7A" w:rsidRDefault="00037EA9" w:rsidP="00DB2C7A">
              <w:pPr>
                <w:pStyle w:val="Bibliografia"/>
                <w:ind w:left="720" w:hanging="720"/>
                <w:rPr>
                  <w:noProof/>
                  <w:sz w:val="24"/>
                  <w:lang w:val="en-GB"/>
                </w:rPr>
              </w:pPr>
              <w:r>
                <w:rPr>
                  <w:bCs w:val="0"/>
                </w:rPr>
                <w:fldChar w:fldCharType="begin"/>
              </w:r>
              <w:r>
                <w:instrText xml:space="preserve"> BIBLIOGRAPHY </w:instrText>
              </w:r>
              <w:r>
                <w:rPr>
                  <w:bCs w:val="0"/>
                </w:rPr>
                <w:fldChar w:fldCharType="separate"/>
              </w:r>
              <w:r w:rsidR="00DB2C7A">
                <w:rPr>
                  <w:noProof/>
                  <w:lang w:val="en-GB"/>
                </w:rPr>
                <w:t xml:space="preserve">Kinstedt, K. (2012). </w:t>
              </w:r>
              <w:r w:rsidR="00DB2C7A" w:rsidRPr="009E308A">
                <w:rPr>
                  <w:i/>
                  <w:noProof/>
                  <w:lang w:val="en-GB"/>
                </w:rPr>
                <w:t>The Application of Ecological Sanitation for Excreta Disposal in Disaster Relief</w:t>
              </w:r>
              <w:r w:rsidR="00DB2C7A">
                <w:rPr>
                  <w:noProof/>
                  <w:lang w:val="en-GB"/>
                </w:rPr>
                <w:t>. Retrieved April 2014, from http://www.susana.org/lang-en/library/library?view=ccbktypeitem&amp;type=2&amp;id=1506</w:t>
              </w:r>
            </w:p>
            <w:p w14:paraId="3F7D14C3" w14:textId="77777777" w:rsidR="00DB2C7A" w:rsidRDefault="00DB2C7A" w:rsidP="00DB2C7A">
              <w:pPr>
                <w:pStyle w:val="Bibliografia"/>
                <w:ind w:left="720" w:hanging="720"/>
                <w:rPr>
                  <w:noProof/>
                  <w:lang w:val="en-GB"/>
                </w:rPr>
              </w:pPr>
              <w:r>
                <w:rPr>
                  <w:noProof/>
                  <w:lang w:val="en-GB"/>
                </w:rPr>
                <w:t xml:space="preserve">Munch, E. V., Ochs, A., Amy , G., Mwase , H., &amp; Francois Fesselet, J. (2006). Provision of Sustainable sanitation in emergency situations: role of ecosan. </w:t>
              </w:r>
              <w:r>
                <w:rPr>
                  <w:i/>
                  <w:iCs/>
                  <w:noProof/>
                  <w:lang w:val="en-GB"/>
                </w:rPr>
                <w:t>Sustainable Development of Water resources, Water Supply and Environmental Sanitation</w:t>
              </w:r>
              <w:r>
                <w:rPr>
                  <w:noProof/>
                  <w:lang w:val="en-GB"/>
                </w:rPr>
                <w:t xml:space="preserve"> (pp. 506-509). Colombo, Sri Lanka: WEDC.</w:t>
              </w:r>
            </w:p>
            <w:p w14:paraId="3C924FDC" w14:textId="77777777" w:rsidR="00DB2C7A" w:rsidRDefault="00DB2C7A" w:rsidP="00DB2C7A">
              <w:pPr>
                <w:pStyle w:val="Bibliografia"/>
                <w:ind w:left="720" w:hanging="720"/>
                <w:rPr>
                  <w:noProof/>
                  <w:lang w:val="en-GB"/>
                </w:rPr>
              </w:pPr>
              <w:r>
                <w:rPr>
                  <w:noProof/>
                  <w:lang w:val="en-GB"/>
                </w:rPr>
                <w:t xml:space="preserve">Oxfam. (2012). </w:t>
              </w:r>
              <w:r>
                <w:rPr>
                  <w:i/>
                  <w:iCs/>
                  <w:noProof/>
                  <w:lang w:val="en-GB"/>
                </w:rPr>
                <w:t>Hiloweyn Urine Diversion &amp; Dry Toilet Demand Survey.</w:t>
              </w:r>
              <w:r>
                <w:rPr>
                  <w:noProof/>
                  <w:lang w:val="en-GB"/>
                </w:rPr>
                <w:t xml:space="preserve"> </w:t>
              </w:r>
            </w:p>
            <w:p w14:paraId="540E8EA7" w14:textId="77777777" w:rsidR="00DB2C7A" w:rsidRDefault="00DB2C7A" w:rsidP="00DB2C7A">
              <w:pPr>
                <w:pStyle w:val="Bibliografia"/>
                <w:ind w:left="720" w:hanging="720"/>
                <w:rPr>
                  <w:noProof/>
                  <w:lang w:val="en-GB"/>
                </w:rPr>
              </w:pPr>
              <w:r>
                <w:rPr>
                  <w:noProof/>
                  <w:lang w:val="en-GB"/>
                </w:rPr>
                <w:t xml:space="preserve">Oxfam. (2012). </w:t>
              </w:r>
              <w:r>
                <w:rPr>
                  <w:i/>
                  <w:iCs/>
                  <w:noProof/>
                  <w:lang w:val="en-GB"/>
                </w:rPr>
                <w:t>Introduction of Urine Diversion and Drying Toilet in Hiloweyn Refugee Camp, Dollo Ado, Ethiopia.</w:t>
              </w:r>
              <w:r>
                <w:rPr>
                  <w:noProof/>
                  <w:lang w:val="en-GB"/>
                </w:rPr>
                <w:t xml:space="preserve"> Oxfam.</w:t>
              </w:r>
            </w:p>
            <w:p w14:paraId="4D836D71" w14:textId="77777777" w:rsidR="00DB2C7A" w:rsidRDefault="00DB2C7A" w:rsidP="00DB2C7A">
              <w:pPr>
                <w:pStyle w:val="Bibliografia"/>
                <w:ind w:left="720" w:hanging="720"/>
                <w:rPr>
                  <w:noProof/>
                  <w:lang w:val="en-GB"/>
                </w:rPr>
              </w:pPr>
              <w:r>
                <w:rPr>
                  <w:noProof/>
                  <w:lang w:val="en-GB"/>
                </w:rPr>
                <w:t xml:space="preserve">Rieck, C., Munch, E. v., &amp; Hoffman, H. (2012, December). </w:t>
              </w:r>
              <w:r>
                <w:rPr>
                  <w:i/>
                  <w:iCs/>
                  <w:noProof/>
                  <w:lang w:val="en-GB"/>
                </w:rPr>
                <w:t>Technology Review of UDDTs.</w:t>
              </w:r>
              <w:r>
                <w:rPr>
                  <w:noProof/>
                  <w:lang w:val="en-GB"/>
                </w:rPr>
                <w:t xml:space="preserve"> Retrieved from Sustainable Sanitation Alliance: http://www.susana.org/docs_ccbk/susana_download/2-874-technology-review-of-uddts-18-june-2013.pdf</w:t>
              </w:r>
            </w:p>
            <w:p w14:paraId="460A5A8C" w14:textId="77777777" w:rsidR="00DB2C7A" w:rsidRDefault="00DB2C7A" w:rsidP="00DB2C7A">
              <w:pPr>
                <w:pStyle w:val="Bibliografia"/>
                <w:ind w:left="720" w:hanging="720"/>
                <w:rPr>
                  <w:noProof/>
                  <w:lang w:val="en-GB"/>
                </w:rPr>
              </w:pPr>
              <w:r>
                <w:rPr>
                  <w:noProof/>
                  <w:lang w:val="en-GB"/>
                </w:rPr>
                <w:t xml:space="preserve">Tilley, E., Luthi, C., Morel, A., Zurbrugg, C., &amp; Schetenleib, R. (2008). </w:t>
              </w:r>
              <w:r>
                <w:rPr>
                  <w:i/>
                  <w:iCs/>
                  <w:noProof/>
                  <w:lang w:val="en-GB"/>
                </w:rPr>
                <w:t>Compedium of Sanitation Systems and Technologies.</w:t>
              </w:r>
              <w:r>
                <w:rPr>
                  <w:noProof/>
                  <w:lang w:val="en-GB"/>
                </w:rPr>
                <w:t xml:space="preserve"> Retrieved from EAWAG: http://www.eawag.ch/forschung/sandec/publikationen/sesp/dl/compendium_high.pdf</w:t>
              </w:r>
            </w:p>
            <w:p w14:paraId="1640862D" w14:textId="77777777" w:rsidR="00DB2C7A" w:rsidRDefault="00DB2C7A" w:rsidP="00DB2C7A">
              <w:pPr>
                <w:pStyle w:val="Bibliografia"/>
                <w:ind w:left="720" w:hanging="720"/>
                <w:rPr>
                  <w:noProof/>
                  <w:lang w:val="en-GB"/>
                </w:rPr>
              </w:pPr>
              <w:r>
                <w:rPr>
                  <w:noProof/>
                  <w:lang w:val="en-GB"/>
                </w:rPr>
                <w:t xml:space="preserve">Veolia Environment Foundation. (2013). </w:t>
              </w:r>
              <w:r>
                <w:rPr>
                  <w:i/>
                  <w:iCs/>
                  <w:noProof/>
                  <w:lang w:val="en-GB"/>
                </w:rPr>
                <w:t>WASH Consultancy Assesment Report, Dollo Ado Refugee Camps.</w:t>
              </w:r>
              <w:r>
                <w:rPr>
                  <w:noProof/>
                  <w:lang w:val="en-GB"/>
                </w:rPr>
                <w:t xml:space="preserve"> </w:t>
              </w:r>
            </w:p>
            <w:p w14:paraId="4468339B" w14:textId="77777777" w:rsidR="00DB2C7A" w:rsidRDefault="00DB2C7A" w:rsidP="00DB2C7A">
              <w:pPr>
                <w:pStyle w:val="Bibliografia"/>
                <w:ind w:left="720" w:hanging="720"/>
                <w:rPr>
                  <w:noProof/>
                  <w:lang w:val="en-GB"/>
                </w:rPr>
              </w:pPr>
              <w:r>
                <w:rPr>
                  <w:noProof/>
                  <w:lang w:val="en-GB"/>
                </w:rPr>
                <w:t xml:space="preserve">WHO. (2006). </w:t>
              </w:r>
              <w:r>
                <w:rPr>
                  <w:i/>
                  <w:iCs/>
                  <w:noProof/>
                  <w:lang w:val="en-GB"/>
                </w:rPr>
                <w:t>Guidelines for the Safe use of Wastewater, Excreta and Greywater.</w:t>
              </w:r>
              <w:r>
                <w:rPr>
                  <w:noProof/>
                  <w:lang w:val="en-GB"/>
                </w:rPr>
                <w:t xml:space="preserve"> Retrieved February 13, 2014, from www.whqlibdoc.who.int/publications/2006/9241546824_eng.pdf</w:t>
              </w:r>
            </w:p>
            <w:p w14:paraId="24C4EC74" w14:textId="02ACC465" w:rsidR="00037EA9" w:rsidRDefault="00037EA9" w:rsidP="00DB2C7A">
              <w:r>
                <w:rPr>
                  <w:b/>
                  <w:bCs w:val="0"/>
                  <w:noProof/>
                </w:rPr>
                <w:fldChar w:fldCharType="end"/>
              </w:r>
            </w:p>
          </w:sdtContent>
        </w:sdt>
      </w:sdtContent>
    </w:sdt>
    <w:p w14:paraId="1BFC38CB" w14:textId="77777777" w:rsidR="00F17CC1" w:rsidRDefault="00F17CC1">
      <w:pPr>
        <w:pStyle w:val="WEDC-Bodytext-P1"/>
      </w:pPr>
    </w:p>
    <w:p w14:paraId="361B80BD" w14:textId="77777777" w:rsidR="00F17CC1" w:rsidRDefault="00F17CC1">
      <w:pPr>
        <w:pStyle w:val="WEDC-Referencesheading"/>
      </w:pPr>
      <w:r>
        <w:t>Contact details</w:t>
      </w:r>
    </w:p>
    <w:p w14:paraId="5826A6F4" w14:textId="77777777" w:rsidR="00F17CC1" w:rsidRDefault="00F17CC1">
      <w:pPr>
        <w:pStyle w:val="Titolo4"/>
      </w:pPr>
    </w:p>
    <w:tbl>
      <w:tblPr>
        <w:tblW w:w="0" w:type="auto"/>
        <w:tblBorders>
          <w:bottom w:val="single" w:sz="4" w:space="0" w:color="auto"/>
        </w:tblBorders>
        <w:tblCellMar>
          <w:top w:w="120" w:type="dxa"/>
          <w:left w:w="120" w:type="dxa"/>
          <w:bottom w:w="120" w:type="dxa"/>
          <w:right w:w="120" w:type="dxa"/>
        </w:tblCellMar>
        <w:tblLook w:val="0000" w:firstRow="0" w:lastRow="0" w:firstColumn="0" w:lastColumn="0" w:noHBand="0" w:noVBand="0"/>
      </w:tblPr>
      <w:tblGrid>
        <w:gridCol w:w="4369"/>
        <w:gridCol w:w="4136"/>
      </w:tblGrid>
      <w:tr w:rsidR="00F17CC1" w14:paraId="5C049CAF" w14:textId="77777777" w:rsidTr="002C7EF1">
        <w:tc>
          <w:tcPr>
            <w:tcW w:w="4369" w:type="dxa"/>
            <w:tcMar>
              <w:top w:w="0" w:type="dxa"/>
              <w:left w:w="0" w:type="dxa"/>
              <w:bottom w:w="0" w:type="dxa"/>
              <w:right w:w="0" w:type="dxa"/>
            </w:tcMar>
          </w:tcPr>
          <w:p w14:paraId="5DDFC5BE" w14:textId="725F0E1A" w:rsidR="00F17CC1" w:rsidRDefault="002D747A">
            <w:pPr>
              <w:pStyle w:val="WEDC-Bodytext-P1"/>
            </w:pPr>
            <w:r>
              <w:t>UNHCR (</w:t>
            </w:r>
            <w:proofErr w:type="spellStart"/>
            <w:r w:rsidR="002C7EF1">
              <w:t>P</w:t>
            </w:r>
            <w:r>
              <w:t>.</w:t>
            </w:r>
            <w:r w:rsidR="002C7EF1">
              <w:t>Ngala</w:t>
            </w:r>
            <w:proofErr w:type="spellEnd"/>
            <w:r>
              <w:t xml:space="preserve">, </w:t>
            </w:r>
            <w:proofErr w:type="spellStart"/>
            <w:r>
              <w:t>M.Burt</w:t>
            </w:r>
            <w:proofErr w:type="spellEnd"/>
            <w:r>
              <w:t xml:space="preserve">, </w:t>
            </w:r>
            <w:proofErr w:type="spellStart"/>
            <w:r>
              <w:t>S.Gonzaga</w:t>
            </w:r>
            <w:proofErr w:type="spellEnd"/>
            <w:r>
              <w:t>)</w:t>
            </w:r>
          </w:p>
          <w:p w14:paraId="6CB1E176" w14:textId="59203EB6" w:rsidR="00F17CC1" w:rsidRDefault="002C7EF1">
            <w:pPr>
              <w:pStyle w:val="WEDC-Bodytext-P1"/>
            </w:pPr>
            <w:r>
              <w:t>P. O. Box 43801-00100</w:t>
            </w:r>
          </w:p>
          <w:p w14:paraId="7F236B18" w14:textId="3DF1672E" w:rsidR="00F17CC1" w:rsidRDefault="002C7EF1">
            <w:pPr>
              <w:pStyle w:val="WEDC-Bodytext-P1"/>
            </w:pPr>
            <w:r>
              <w:t>Nairobi, Kenya</w:t>
            </w:r>
          </w:p>
          <w:p w14:paraId="0CD0620C" w14:textId="119014FF" w:rsidR="00F17CC1" w:rsidRDefault="002C7EF1">
            <w:pPr>
              <w:pStyle w:val="WEDC-Bodytext-P1"/>
            </w:pPr>
            <w:r>
              <w:t>Tel:+254706524361</w:t>
            </w:r>
          </w:p>
          <w:p w14:paraId="314E103F" w14:textId="36AF8655" w:rsidR="00F17CC1" w:rsidRDefault="00F17CC1">
            <w:pPr>
              <w:pStyle w:val="WEDC-Bodytext-P1"/>
            </w:pPr>
            <w:r>
              <w:t xml:space="preserve">Email: </w:t>
            </w:r>
            <w:hyperlink r:id="rId14" w:history="1">
              <w:r w:rsidR="002C7EF1" w:rsidRPr="00155C81">
                <w:rPr>
                  <w:rStyle w:val="Collegamentoipertestuale"/>
                </w:rPr>
                <w:t>ngala@unhcr.org</w:t>
              </w:r>
            </w:hyperlink>
          </w:p>
          <w:p w14:paraId="1AD208F8" w14:textId="276F6A21" w:rsidR="00F17CC1" w:rsidRDefault="002C7EF1">
            <w:pPr>
              <w:pStyle w:val="WEDC-Bodytext-P1"/>
              <w:tabs>
                <w:tab w:val="left" w:pos="902"/>
              </w:tabs>
            </w:pPr>
            <w:r>
              <w:t>www.unhcr.org</w:t>
            </w:r>
            <w:r w:rsidR="00F17CC1">
              <w:tab/>
            </w:r>
          </w:p>
          <w:p w14:paraId="06AEE1E5" w14:textId="77777777" w:rsidR="00F17CC1" w:rsidRDefault="00F17CC1">
            <w:pPr>
              <w:pStyle w:val="WEDC-Bodytext-P1"/>
              <w:tabs>
                <w:tab w:val="left" w:pos="902"/>
              </w:tabs>
            </w:pPr>
          </w:p>
        </w:tc>
        <w:tc>
          <w:tcPr>
            <w:tcW w:w="4136" w:type="dxa"/>
            <w:tcMar>
              <w:top w:w="0" w:type="dxa"/>
              <w:left w:w="0" w:type="dxa"/>
              <w:bottom w:w="0" w:type="dxa"/>
              <w:right w:w="0" w:type="dxa"/>
            </w:tcMar>
          </w:tcPr>
          <w:p w14:paraId="7E1CD2D2" w14:textId="43AD0204" w:rsidR="00F17CC1" w:rsidRDefault="002D747A">
            <w:pPr>
              <w:pStyle w:val="WEDC-Bodytext-P1"/>
            </w:pPr>
            <w:r>
              <w:t>Oxfam (</w:t>
            </w:r>
            <w:proofErr w:type="spellStart"/>
            <w:r>
              <w:t>A.Bastable</w:t>
            </w:r>
            <w:proofErr w:type="spellEnd"/>
            <w:r>
              <w:t>)</w:t>
            </w:r>
          </w:p>
          <w:p w14:paraId="5B423A3E" w14:textId="04F50D97" w:rsidR="00F17CC1" w:rsidRDefault="002C7EF1">
            <w:pPr>
              <w:pStyle w:val="WEDC-Bodytext-P1"/>
            </w:pPr>
            <w:r>
              <w:t>Tel</w:t>
            </w:r>
            <w:r w:rsidR="00C73FBA">
              <w:t>:+</w:t>
            </w:r>
            <w:r w:rsidR="002D747A">
              <w:t>441865473858</w:t>
            </w:r>
          </w:p>
          <w:p w14:paraId="16C149B2" w14:textId="37504896" w:rsidR="00F17CC1" w:rsidRDefault="00F17CC1">
            <w:pPr>
              <w:pStyle w:val="WEDC-Bodytext-P1"/>
            </w:pPr>
            <w:r>
              <w:t>Email</w:t>
            </w:r>
            <w:r w:rsidR="00C73FBA">
              <w:t>: abastable@o</w:t>
            </w:r>
            <w:r w:rsidR="002D747A">
              <w:t>xfam.org.uk</w:t>
            </w:r>
          </w:p>
          <w:p w14:paraId="1034FE18" w14:textId="1FB764A4" w:rsidR="00F17CC1" w:rsidRDefault="00F17CC1" w:rsidP="00C37F6B">
            <w:pPr>
              <w:pStyle w:val="WEDC-Bodytext-P1"/>
            </w:pPr>
            <w:r>
              <w:t>www</w:t>
            </w:r>
            <w:r w:rsidR="00C73FBA">
              <w:t>.</w:t>
            </w:r>
            <w:r w:rsidR="002D747A">
              <w:t>oxfam.org.uk</w:t>
            </w:r>
          </w:p>
        </w:tc>
      </w:tr>
    </w:tbl>
    <w:p w14:paraId="37FBC7BB" w14:textId="5202589A" w:rsidR="00F17CC1" w:rsidRDefault="00F17CC1">
      <w:pPr>
        <w:pStyle w:val="WEDC-Bodytext-P1"/>
        <w:tabs>
          <w:tab w:val="clear" w:pos="170"/>
          <w:tab w:val="clear" w:pos="283"/>
          <w:tab w:val="clear" w:pos="454"/>
          <w:tab w:val="left" w:pos="5046"/>
        </w:tabs>
      </w:pPr>
      <w:r>
        <w:tab/>
      </w:r>
    </w:p>
    <w:sectPr w:rsidR="00F17CC1">
      <w:headerReference w:type="default" r:id="rId15"/>
      <w:footerReference w:type="default" r:id="rId16"/>
      <w:headerReference w:type="first" r:id="rId17"/>
      <w:footerReference w:type="first" r:id="rId18"/>
      <w:type w:val="nextColumn"/>
      <w:pgSz w:w="11907" w:h="16840" w:code="9"/>
      <w:pgMar w:top="1418" w:right="1701" w:bottom="1418" w:left="1701" w:header="1134" w:footer="720" w:gutter="0"/>
      <w:pgNumType w:start="1"/>
      <w:cols w:space="284"/>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12626F" w14:textId="77777777" w:rsidR="00BA226A" w:rsidRDefault="00BA226A">
      <w:r>
        <w:separator/>
      </w:r>
    </w:p>
    <w:p w14:paraId="2F572C0B" w14:textId="77777777" w:rsidR="00BA226A" w:rsidRDefault="00BA226A"/>
  </w:endnote>
  <w:endnote w:type="continuationSeparator" w:id="0">
    <w:p w14:paraId="703B9DCB" w14:textId="77777777" w:rsidR="00BA226A" w:rsidRDefault="00BA226A">
      <w:r>
        <w:continuationSeparator/>
      </w:r>
    </w:p>
    <w:p w14:paraId="3A215F85" w14:textId="77777777" w:rsidR="00BA226A" w:rsidRDefault="00BA22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SymbolProp BT">
    <w:charset w:val="02"/>
    <w:family w:val="auto"/>
    <w:pitch w:val="variable"/>
    <w:sig w:usb0="00000000" w:usb1="10000000" w:usb2="00000000" w:usb3="00000000" w:csb0="80000000" w:csb1="00000000"/>
  </w:font>
  <w:font w:name="Tahoma">
    <w:panose1 w:val="020B060403050404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95F372" w14:textId="77777777" w:rsidR="008740AB" w:rsidRDefault="008740AB">
    <w:pPr>
      <w:pStyle w:val="Pidipagina"/>
      <w:jc w:val="center"/>
    </w:pPr>
    <w:r>
      <w:rPr>
        <w:rStyle w:val="Numeropagina"/>
      </w:rPr>
      <w:fldChar w:fldCharType="begin"/>
    </w:r>
    <w:r>
      <w:rPr>
        <w:rStyle w:val="Numeropagina"/>
      </w:rPr>
      <w:instrText xml:space="preserve"> PAGE </w:instrText>
    </w:r>
    <w:r>
      <w:rPr>
        <w:rStyle w:val="Numeropagina"/>
      </w:rPr>
      <w:fldChar w:fldCharType="separate"/>
    </w:r>
    <w:r w:rsidR="00813171">
      <w:rPr>
        <w:rStyle w:val="Numeropagina"/>
        <w:noProof/>
      </w:rPr>
      <w:t>2</w:t>
    </w:r>
    <w:r>
      <w:rPr>
        <w:rStyle w:val="Numeropagina"/>
      </w:rPr>
      <w:fldChar w:fldCharType="end"/>
    </w:r>
  </w:p>
  <w:p w14:paraId="6CA924B8" w14:textId="77777777" w:rsidR="008740AB" w:rsidRDefault="008740AB"/>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AE1C7A" w14:textId="77777777" w:rsidR="008740AB" w:rsidRDefault="008740AB">
    <w:pPr>
      <w:pStyle w:val="Pidipagina"/>
      <w:jc w:val="center"/>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4</w:t>
    </w:r>
    <w:r>
      <w:rPr>
        <w:rStyle w:val="Numeropagina"/>
      </w:rPr>
      <w:fldChar w:fldCharType="end"/>
    </w:r>
  </w:p>
  <w:p w14:paraId="71874C35" w14:textId="77777777" w:rsidR="008740AB" w:rsidRDefault="008740AB"/>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B82D8" w14:textId="77777777" w:rsidR="00BA226A" w:rsidRDefault="00BA226A">
      <w:r>
        <w:separator/>
      </w:r>
    </w:p>
    <w:p w14:paraId="4F0794ED" w14:textId="77777777" w:rsidR="00BA226A" w:rsidRDefault="00BA226A"/>
  </w:footnote>
  <w:footnote w:type="continuationSeparator" w:id="0">
    <w:p w14:paraId="39189942" w14:textId="77777777" w:rsidR="00BA226A" w:rsidRDefault="00BA226A">
      <w:r>
        <w:continuationSeparator/>
      </w:r>
    </w:p>
    <w:p w14:paraId="7FBC56B5" w14:textId="77777777" w:rsidR="00BA226A" w:rsidRDefault="00BA226A"/>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16"/>
    </w:tblGrid>
    <w:tr w:rsidR="008740AB" w14:paraId="3755264A" w14:textId="77777777">
      <w:trPr>
        <w:trHeight w:val="366"/>
      </w:trPr>
      <w:tc>
        <w:tcPr>
          <w:tcW w:w="8516" w:type="dxa"/>
          <w:tcBorders>
            <w:top w:val="nil"/>
            <w:left w:val="nil"/>
            <w:bottom w:val="nil"/>
            <w:right w:val="nil"/>
          </w:tcBorders>
        </w:tcPr>
        <w:p w14:paraId="7F353592" w14:textId="599CA924" w:rsidR="008740AB" w:rsidRDefault="00AA1399" w:rsidP="00B1336A">
          <w:pPr>
            <w:pStyle w:val="Intestazione"/>
          </w:pPr>
          <w:r>
            <w:t>Ngala, burt</w:t>
          </w:r>
          <w:r w:rsidR="008F7249">
            <w:t>,</w:t>
          </w:r>
          <w:r>
            <w:t xml:space="preserve"> gonza</w:t>
          </w:r>
          <w:r w:rsidR="00EE0245">
            <w:t>G</w:t>
          </w:r>
          <w:r>
            <w:t>a</w:t>
          </w:r>
          <w:r w:rsidR="008F7249">
            <w:t xml:space="preserve"> &amp; BASTABLE</w:t>
          </w:r>
        </w:p>
      </w:tc>
    </w:tr>
  </w:tbl>
  <w:p w14:paraId="58AAAF49" w14:textId="77777777" w:rsidR="008740AB" w:rsidRDefault="008740AB">
    <w:pPr>
      <w:pStyle w:val="Intestazione"/>
    </w:pPr>
  </w:p>
  <w:p w14:paraId="27136B86" w14:textId="77777777" w:rsidR="008740AB" w:rsidRDefault="008740AB">
    <w:pPr>
      <w:pStyle w:val="Intestazione"/>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Borders>
        <w:top w:val="single" w:sz="4" w:space="0" w:color="auto"/>
        <w:bottom w:val="single" w:sz="4" w:space="0" w:color="auto"/>
      </w:tblBorders>
      <w:tblCellMar>
        <w:left w:w="0" w:type="dxa"/>
        <w:right w:w="0" w:type="dxa"/>
      </w:tblCellMar>
      <w:tblLook w:val="0000" w:firstRow="0" w:lastRow="0" w:firstColumn="0" w:lastColumn="0" w:noHBand="0" w:noVBand="0"/>
    </w:tblPr>
    <w:tblGrid>
      <w:gridCol w:w="9639"/>
    </w:tblGrid>
    <w:tr w:rsidR="008740AB" w14:paraId="687F3343" w14:textId="77777777">
      <w:trPr>
        <w:cantSplit/>
      </w:trPr>
      <w:tc>
        <w:tcPr>
          <w:tcW w:w="9639" w:type="dxa"/>
          <w:tcBorders>
            <w:bottom w:val="single" w:sz="4" w:space="0" w:color="auto"/>
          </w:tcBorders>
          <w:tcMar>
            <w:left w:w="0" w:type="dxa"/>
            <w:right w:w="0" w:type="dxa"/>
          </w:tcMar>
        </w:tcPr>
        <w:p w14:paraId="06E0587F" w14:textId="77777777" w:rsidR="008740AB" w:rsidRDefault="008740AB">
          <w:r>
            <w:t>30th WEDC International Conference, Vientiane, Lao PDR, 2004</w:t>
          </w:r>
        </w:p>
        <w:p w14:paraId="67AFC36C" w14:textId="77777777" w:rsidR="008740AB" w:rsidRDefault="008740AB">
          <w:pPr>
            <w:pStyle w:val="WEDC-Titleofconference"/>
            <w:tabs>
              <w:tab w:val="left" w:pos="3105"/>
            </w:tabs>
            <w:jc w:val="left"/>
          </w:pPr>
          <w:r>
            <w:tab/>
          </w:r>
        </w:p>
        <w:p w14:paraId="5CE8E46B" w14:textId="77777777" w:rsidR="008740AB" w:rsidRDefault="008740AB">
          <w:pPr>
            <w:pStyle w:val="WEDC-Titleofconference"/>
          </w:pPr>
          <w:r>
            <w:t>People-centred Approaches to Water and Environmental Sanitation</w:t>
          </w:r>
        </w:p>
        <w:p w14:paraId="6D8FC312" w14:textId="77777777" w:rsidR="008740AB" w:rsidRDefault="008740AB">
          <w:pPr>
            <w:pStyle w:val="WEDC-Titleofconference"/>
          </w:pPr>
        </w:p>
        <w:p w14:paraId="3F3B8073" w14:textId="77777777" w:rsidR="008740AB" w:rsidRDefault="008740AB">
          <w:pPr>
            <w:pStyle w:val="WEDC-Titleofpaper"/>
          </w:pPr>
          <w:r>
            <w:t>Type the Title of Your Paper Here</w:t>
          </w:r>
          <w:r>
            <w:br/>
            <w:t>No More Than 75 Characters</w:t>
          </w:r>
        </w:p>
        <w:p w14:paraId="68BB9FCE" w14:textId="77777777" w:rsidR="008740AB" w:rsidRDefault="008740AB">
          <w:pPr>
            <w:pStyle w:val="WEDC-Titleofpaper"/>
          </w:pPr>
        </w:p>
        <w:p w14:paraId="00EE8E7C" w14:textId="77777777" w:rsidR="008740AB" w:rsidRDefault="008740AB">
          <w:pPr>
            <w:pStyle w:val="WEDC-Authorsandcountry"/>
          </w:pPr>
          <w:r>
            <w:t>Author 1, Author 2 and Author 3, UK</w:t>
          </w:r>
        </w:p>
        <w:p w14:paraId="5ADCED0F" w14:textId="77777777" w:rsidR="008740AB" w:rsidRDefault="008740AB"/>
      </w:tc>
    </w:tr>
    <w:tr w:rsidR="008740AB" w14:paraId="4A71E1CD" w14:textId="77777777">
      <w:trPr>
        <w:cantSplit/>
      </w:trPr>
      <w:tc>
        <w:tcPr>
          <w:tcW w:w="9639" w:type="dxa"/>
          <w:tcBorders>
            <w:top w:val="single" w:sz="4" w:space="0" w:color="auto"/>
            <w:bottom w:val="single" w:sz="4" w:space="0" w:color="auto"/>
          </w:tcBorders>
          <w:tcMar>
            <w:left w:w="0" w:type="dxa"/>
            <w:right w:w="0" w:type="dxa"/>
          </w:tcMar>
        </w:tcPr>
        <w:p w14:paraId="72DE7C56" w14:textId="77777777" w:rsidR="008740AB" w:rsidRDefault="008740AB">
          <w:pPr>
            <w:pStyle w:val="WEDC-Abstract"/>
          </w:pPr>
        </w:p>
        <w:p w14:paraId="5C54D7C4" w14:textId="77777777" w:rsidR="008740AB" w:rsidRDefault="008740AB">
          <w:pPr>
            <w:pStyle w:val="WEDC-Abstract"/>
          </w:pPr>
          <w:r>
            <w:t>Insert your abstract here using the style Abstract. Your abstract should be no longer than 150 words. You should notice that this header extends in depth as you type.</w:t>
          </w:r>
        </w:p>
        <w:p w14:paraId="3DE66307" w14:textId="77777777" w:rsidR="008740AB" w:rsidRDefault="008740AB"/>
      </w:tc>
    </w:tr>
  </w:tbl>
  <w:p w14:paraId="0DF062A6" w14:textId="77777777" w:rsidR="008740AB" w:rsidRDefault="008740AB"/>
  <w:p w14:paraId="5A05205E" w14:textId="77777777" w:rsidR="008740AB" w:rsidRDefault="008740A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9020B4C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9E24C3E"/>
    <w:lvl w:ilvl="0">
      <w:start w:val="1"/>
      <w:numFmt w:val="decimal"/>
      <w:pStyle w:val="Numeroelenco5"/>
      <w:lvlText w:val="%1."/>
      <w:lvlJc w:val="left"/>
      <w:pPr>
        <w:tabs>
          <w:tab w:val="num" w:pos="1492"/>
        </w:tabs>
        <w:ind w:left="1492" w:hanging="360"/>
      </w:pPr>
    </w:lvl>
  </w:abstractNum>
  <w:abstractNum w:abstractNumId="2">
    <w:nsid w:val="FFFFFF7D"/>
    <w:multiLevelType w:val="singleLevel"/>
    <w:tmpl w:val="3A4CBE20"/>
    <w:lvl w:ilvl="0">
      <w:start w:val="1"/>
      <w:numFmt w:val="decimal"/>
      <w:pStyle w:val="Numeroelenco4"/>
      <w:lvlText w:val="%1."/>
      <w:lvlJc w:val="left"/>
      <w:pPr>
        <w:tabs>
          <w:tab w:val="num" w:pos="1209"/>
        </w:tabs>
        <w:ind w:left="1209" w:hanging="360"/>
      </w:pPr>
    </w:lvl>
  </w:abstractNum>
  <w:abstractNum w:abstractNumId="3">
    <w:nsid w:val="FFFFFF7E"/>
    <w:multiLevelType w:val="singleLevel"/>
    <w:tmpl w:val="61160C6E"/>
    <w:lvl w:ilvl="0">
      <w:start w:val="1"/>
      <w:numFmt w:val="decimal"/>
      <w:pStyle w:val="Numeroelenco3"/>
      <w:lvlText w:val="%1."/>
      <w:lvlJc w:val="left"/>
      <w:pPr>
        <w:tabs>
          <w:tab w:val="num" w:pos="926"/>
        </w:tabs>
        <w:ind w:left="926" w:hanging="360"/>
      </w:pPr>
    </w:lvl>
  </w:abstractNum>
  <w:abstractNum w:abstractNumId="4">
    <w:nsid w:val="FFFFFF7F"/>
    <w:multiLevelType w:val="singleLevel"/>
    <w:tmpl w:val="747C2276"/>
    <w:lvl w:ilvl="0">
      <w:start w:val="1"/>
      <w:numFmt w:val="decimal"/>
      <w:pStyle w:val="Numeroelenco2"/>
      <w:lvlText w:val="%1."/>
      <w:lvlJc w:val="left"/>
      <w:pPr>
        <w:tabs>
          <w:tab w:val="num" w:pos="643"/>
        </w:tabs>
        <w:ind w:left="643" w:hanging="360"/>
      </w:pPr>
    </w:lvl>
  </w:abstractNum>
  <w:abstractNum w:abstractNumId="5">
    <w:nsid w:val="FFFFFF81"/>
    <w:multiLevelType w:val="singleLevel"/>
    <w:tmpl w:val="D14E486A"/>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1354E87E"/>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2AF2DF68"/>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4BCAE2D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D7FCA01E"/>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1D56E84"/>
    <w:multiLevelType w:val="hybridMultilevel"/>
    <w:tmpl w:val="09B600F0"/>
    <w:lvl w:ilvl="0" w:tplc="69F2FE36">
      <w:start w:val="1"/>
      <w:numFmt w:val="bullet"/>
      <w:pStyle w:val="WEDC-Bodytextwithbulletpoint"/>
      <w:lvlText w:val=""/>
      <w:lvlJc w:val="left"/>
      <w:pPr>
        <w:tabs>
          <w:tab w:val="num" w:pos="-180"/>
        </w:tabs>
        <w:ind w:left="240" w:hanging="240"/>
      </w:pPr>
      <w:rPr>
        <w:rFonts w:ascii="Symbol" w:hAnsi="Symbol" w:hint="default"/>
        <w:color w:val="auto"/>
        <w:spacing w:val="0"/>
        <w:position w:val="0"/>
        <w:sz w:val="16"/>
      </w:rPr>
    </w:lvl>
    <w:lvl w:ilvl="1" w:tplc="04090003">
      <w:start w:val="1"/>
      <w:numFmt w:val="bullet"/>
      <w:lvlText w:val="o"/>
      <w:lvlJc w:val="left"/>
      <w:pPr>
        <w:tabs>
          <w:tab w:val="num" w:pos="1880"/>
        </w:tabs>
        <w:ind w:left="1880" w:hanging="360"/>
      </w:pPr>
      <w:rPr>
        <w:rFonts w:ascii="Courier New" w:hAnsi="Courier New" w:hint="default"/>
      </w:rPr>
    </w:lvl>
    <w:lvl w:ilvl="2" w:tplc="04090005" w:tentative="1">
      <w:start w:val="1"/>
      <w:numFmt w:val="bullet"/>
      <w:lvlText w:val=""/>
      <w:lvlJc w:val="left"/>
      <w:pPr>
        <w:tabs>
          <w:tab w:val="num" w:pos="2600"/>
        </w:tabs>
        <w:ind w:left="2600" w:hanging="360"/>
      </w:pPr>
      <w:rPr>
        <w:rFonts w:ascii="Wingdings" w:hAnsi="Wingdings" w:hint="default"/>
      </w:rPr>
    </w:lvl>
    <w:lvl w:ilvl="3" w:tplc="04090001" w:tentative="1">
      <w:start w:val="1"/>
      <w:numFmt w:val="bullet"/>
      <w:lvlText w:val=""/>
      <w:lvlJc w:val="left"/>
      <w:pPr>
        <w:tabs>
          <w:tab w:val="num" w:pos="3320"/>
        </w:tabs>
        <w:ind w:left="3320" w:hanging="360"/>
      </w:pPr>
      <w:rPr>
        <w:rFonts w:ascii="Symbol" w:hAnsi="Symbol" w:hint="default"/>
      </w:rPr>
    </w:lvl>
    <w:lvl w:ilvl="4" w:tplc="04090003" w:tentative="1">
      <w:start w:val="1"/>
      <w:numFmt w:val="bullet"/>
      <w:lvlText w:val="o"/>
      <w:lvlJc w:val="left"/>
      <w:pPr>
        <w:tabs>
          <w:tab w:val="num" w:pos="4040"/>
        </w:tabs>
        <w:ind w:left="4040" w:hanging="360"/>
      </w:pPr>
      <w:rPr>
        <w:rFonts w:ascii="Courier New" w:hAnsi="Courier New" w:hint="default"/>
      </w:rPr>
    </w:lvl>
    <w:lvl w:ilvl="5" w:tplc="04090005" w:tentative="1">
      <w:start w:val="1"/>
      <w:numFmt w:val="bullet"/>
      <w:lvlText w:val=""/>
      <w:lvlJc w:val="left"/>
      <w:pPr>
        <w:tabs>
          <w:tab w:val="num" w:pos="4760"/>
        </w:tabs>
        <w:ind w:left="4760" w:hanging="360"/>
      </w:pPr>
      <w:rPr>
        <w:rFonts w:ascii="Wingdings" w:hAnsi="Wingdings" w:hint="default"/>
      </w:rPr>
    </w:lvl>
    <w:lvl w:ilvl="6" w:tplc="04090001" w:tentative="1">
      <w:start w:val="1"/>
      <w:numFmt w:val="bullet"/>
      <w:lvlText w:val=""/>
      <w:lvlJc w:val="left"/>
      <w:pPr>
        <w:tabs>
          <w:tab w:val="num" w:pos="5480"/>
        </w:tabs>
        <w:ind w:left="5480" w:hanging="360"/>
      </w:pPr>
      <w:rPr>
        <w:rFonts w:ascii="Symbol" w:hAnsi="Symbol" w:hint="default"/>
      </w:rPr>
    </w:lvl>
    <w:lvl w:ilvl="7" w:tplc="04090003" w:tentative="1">
      <w:start w:val="1"/>
      <w:numFmt w:val="bullet"/>
      <w:lvlText w:val="o"/>
      <w:lvlJc w:val="left"/>
      <w:pPr>
        <w:tabs>
          <w:tab w:val="num" w:pos="6200"/>
        </w:tabs>
        <w:ind w:left="6200" w:hanging="360"/>
      </w:pPr>
      <w:rPr>
        <w:rFonts w:ascii="Courier New" w:hAnsi="Courier New" w:hint="default"/>
      </w:rPr>
    </w:lvl>
    <w:lvl w:ilvl="8" w:tplc="04090005" w:tentative="1">
      <w:start w:val="1"/>
      <w:numFmt w:val="bullet"/>
      <w:lvlText w:val=""/>
      <w:lvlJc w:val="left"/>
      <w:pPr>
        <w:tabs>
          <w:tab w:val="num" w:pos="6920"/>
        </w:tabs>
        <w:ind w:left="6920" w:hanging="360"/>
      </w:pPr>
      <w:rPr>
        <w:rFonts w:ascii="Wingdings" w:hAnsi="Wingdings" w:hint="default"/>
      </w:rPr>
    </w:lvl>
  </w:abstractNum>
  <w:abstractNum w:abstractNumId="11">
    <w:nsid w:val="10460EB6"/>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5B57A66"/>
    <w:multiLevelType w:val="multilevel"/>
    <w:tmpl w:val="08090023"/>
    <w:styleLink w:val="ArticoloSezione"/>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1C837416"/>
    <w:multiLevelType w:val="hybridMultilevel"/>
    <w:tmpl w:val="94C23E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DC7624"/>
    <w:multiLevelType w:val="multilevel"/>
    <w:tmpl w:val="EE8406D0"/>
    <w:lvl w:ilvl="0">
      <w:start w:val="1"/>
      <w:numFmt w:val="bullet"/>
      <w:lvlText w:val=""/>
      <w:lvlJc w:val="left"/>
      <w:pPr>
        <w:tabs>
          <w:tab w:val="num" w:pos="-180"/>
        </w:tabs>
        <w:ind w:left="240" w:hanging="240"/>
      </w:pPr>
      <w:rPr>
        <w:rFonts w:ascii="Symbol" w:hAnsi="Symbol" w:hint="default"/>
        <w:color w:val="auto"/>
        <w:spacing w:val="0"/>
        <w:position w:val="0"/>
        <w:sz w:val="20"/>
      </w:rPr>
    </w:lvl>
    <w:lvl w:ilvl="1">
      <w:start w:val="1"/>
      <w:numFmt w:val="bullet"/>
      <w:lvlText w:val="o"/>
      <w:lvlJc w:val="left"/>
      <w:pPr>
        <w:tabs>
          <w:tab w:val="num" w:pos="1880"/>
        </w:tabs>
        <w:ind w:left="1880" w:hanging="360"/>
      </w:pPr>
      <w:rPr>
        <w:rFonts w:ascii="Courier New" w:hAnsi="Courier New" w:hint="default"/>
      </w:rPr>
    </w:lvl>
    <w:lvl w:ilvl="2">
      <w:start w:val="1"/>
      <w:numFmt w:val="bullet"/>
      <w:lvlText w:val=""/>
      <w:lvlJc w:val="left"/>
      <w:pPr>
        <w:tabs>
          <w:tab w:val="num" w:pos="2600"/>
        </w:tabs>
        <w:ind w:left="2600" w:hanging="360"/>
      </w:pPr>
      <w:rPr>
        <w:rFonts w:ascii="Wingdings" w:hAnsi="Wingdings" w:hint="default"/>
      </w:rPr>
    </w:lvl>
    <w:lvl w:ilvl="3">
      <w:start w:val="1"/>
      <w:numFmt w:val="bullet"/>
      <w:lvlText w:val=""/>
      <w:lvlJc w:val="left"/>
      <w:pPr>
        <w:tabs>
          <w:tab w:val="num" w:pos="3320"/>
        </w:tabs>
        <w:ind w:left="3320" w:hanging="360"/>
      </w:pPr>
      <w:rPr>
        <w:rFonts w:ascii="Symbol" w:hAnsi="Symbol" w:hint="default"/>
      </w:rPr>
    </w:lvl>
    <w:lvl w:ilvl="4">
      <w:start w:val="1"/>
      <w:numFmt w:val="bullet"/>
      <w:lvlText w:val="o"/>
      <w:lvlJc w:val="left"/>
      <w:pPr>
        <w:tabs>
          <w:tab w:val="num" w:pos="4040"/>
        </w:tabs>
        <w:ind w:left="4040" w:hanging="360"/>
      </w:pPr>
      <w:rPr>
        <w:rFonts w:ascii="Courier New" w:hAnsi="Courier New" w:hint="default"/>
      </w:rPr>
    </w:lvl>
    <w:lvl w:ilvl="5">
      <w:start w:val="1"/>
      <w:numFmt w:val="bullet"/>
      <w:lvlText w:val=""/>
      <w:lvlJc w:val="left"/>
      <w:pPr>
        <w:tabs>
          <w:tab w:val="num" w:pos="4760"/>
        </w:tabs>
        <w:ind w:left="4760" w:hanging="360"/>
      </w:pPr>
      <w:rPr>
        <w:rFonts w:ascii="Wingdings" w:hAnsi="Wingdings" w:hint="default"/>
      </w:rPr>
    </w:lvl>
    <w:lvl w:ilvl="6">
      <w:start w:val="1"/>
      <w:numFmt w:val="bullet"/>
      <w:lvlText w:val=""/>
      <w:lvlJc w:val="left"/>
      <w:pPr>
        <w:tabs>
          <w:tab w:val="num" w:pos="5480"/>
        </w:tabs>
        <w:ind w:left="5480" w:hanging="360"/>
      </w:pPr>
      <w:rPr>
        <w:rFonts w:ascii="Symbol" w:hAnsi="Symbol" w:hint="default"/>
      </w:rPr>
    </w:lvl>
    <w:lvl w:ilvl="7">
      <w:start w:val="1"/>
      <w:numFmt w:val="bullet"/>
      <w:lvlText w:val="o"/>
      <w:lvlJc w:val="left"/>
      <w:pPr>
        <w:tabs>
          <w:tab w:val="num" w:pos="6200"/>
        </w:tabs>
        <w:ind w:left="6200" w:hanging="360"/>
      </w:pPr>
      <w:rPr>
        <w:rFonts w:ascii="Courier New" w:hAnsi="Courier New" w:hint="default"/>
      </w:rPr>
    </w:lvl>
    <w:lvl w:ilvl="8">
      <w:start w:val="1"/>
      <w:numFmt w:val="bullet"/>
      <w:lvlText w:val=""/>
      <w:lvlJc w:val="left"/>
      <w:pPr>
        <w:tabs>
          <w:tab w:val="num" w:pos="6920"/>
        </w:tabs>
        <w:ind w:left="6920" w:hanging="360"/>
      </w:pPr>
      <w:rPr>
        <w:rFonts w:ascii="Wingdings" w:hAnsi="Wingdings" w:hint="default"/>
      </w:rPr>
    </w:lvl>
  </w:abstractNum>
  <w:abstractNum w:abstractNumId="15">
    <w:nsid w:val="2678157F"/>
    <w:multiLevelType w:val="hybridMultilevel"/>
    <w:tmpl w:val="5BBEEEC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2C4F43"/>
    <w:multiLevelType w:val="hybridMultilevel"/>
    <w:tmpl w:val="71A64A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53668B"/>
    <w:multiLevelType w:val="hybridMultilevel"/>
    <w:tmpl w:val="541C3F0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nsid w:val="2F133636"/>
    <w:multiLevelType w:val="hybridMultilevel"/>
    <w:tmpl w:val="30A6C858"/>
    <w:lvl w:ilvl="0" w:tplc="5B589302">
      <w:start w:val="1"/>
      <w:numFmt w:val="bullet"/>
      <w:pStyle w:val="WEDC-Bodytextwithbulletpoint2"/>
      <w:lvlText w:val=""/>
      <w:lvlJc w:val="left"/>
      <w:pPr>
        <w:tabs>
          <w:tab w:val="num" w:pos="-180"/>
        </w:tabs>
        <w:ind w:left="240" w:hanging="240"/>
      </w:pPr>
      <w:rPr>
        <w:rFonts w:ascii="Symbol" w:hAnsi="Symbol" w:hint="default"/>
        <w:color w:val="auto"/>
      </w:rPr>
    </w:lvl>
    <w:lvl w:ilvl="1" w:tplc="08090003" w:tentative="1">
      <w:start w:val="1"/>
      <w:numFmt w:val="bullet"/>
      <w:lvlText w:val="o"/>
      <w:lvlJc w:val="left"/>
      <w:pPr>
        <w:tabs>
          <w:tab w:val="num" w:pos="900"/>
        </w:tabs>
        <w:ind w:left="900" w:hanging="360"/>
      </w:pPr>
      <w:rPr>
        <w:rFonts w:ascii="Courier New" w:hAnsi="Courier New" w:cs="Arial" w:hint="default"/>
      </w:rPr>
    </w:lvl>
    <w:lvl w:ilvl="2" w:tplc="08090005" w:tentative="1">
      <w:start w:val="1"/>
      <w:numFmt w:val="bullet"/>
      <w:lvlText w:val=""/>
      <w:lvlJc w:val="left"/>
      <w:pPr>
        <w:tabs>
          <w:tab w:val="num" w:pos="1620"/>
        </w:tabs>
        <w:ind w:left="1620" w:hanging="360"/>
      </w:pPr>
      <w:rPr>
        <w:rFonts w:ascii="Wingdings" w:hAnsi="Wingdings" w:hint="default"/>
      </w:rPr>
    </w:lvl>
    <w:lvl w:ilvl="3" w:tplc="08090001" w:tentative="1">
      <w:start w:val="1"/>
      <w:numFmt w:val="bullet"/>
      <w:lvlText w:val=""/>
      <w:lvlJc w:val="left"/>
      <w:pPr>
        <w:tabs>
          <w:tab w:val="num" w:pos="2340"/>
        </w:tabs>
        <w:ind w:left="2340" w:hanging="360"/>
      </w:pPr>
      <w:rPr>
        <w:rFonts w:ascii="Symbol" w:hAnsi="Symbol" w:hint="default"/>
      </w:rPr>
    </w:lvl>
    <w:lvl w:ilvl="4" w:tplc="08090003" w:tentative="1">
      <w:start w:val="1"/>
      <w:numFmt w:val="bullet"/>
      <w:lvlText w:val="o"/>
      <w:lvlJc w:val="left"/>
      <w:pPr>
        <w:tabs>
          <w:tab w:val="num" w:pos="3060"/>
        </w:tabs>
        <w:ind w:left="3060" w:hanging="360"/>
      </w:pPr>
      <w:rPr>
        <w:rFonts w:ascii="Courier New" w:hAnsi="Courier New" w:cs="Arial" w:hint="default"/>
      </w:rPr>
    </w:lvl>
    <w:lvl w:ilvl="5" w:tplc="08090005" w:tentative="1">
      <w:start w:val="1"/>
      <w:numFmt w:val="bullet"/>
      <w:lvlText w:val=""/>
      <w:lvlJc w:val="left"/>
      <w:pPr>
        <w:tabs>
          <w:tab w:val="num" w:pos="3780"/>
        </w:tabs>
        <w:ind w:left="3780" w:hanging="360"/>
      </w:pPr>
      <w:rPr>
        <w:rFonts w:ascii="Wingdings" w:hAnsi="Wingdings" w:hint="default"/>
      </w:rPr>
    </w:lvl>
    <w:lvl w:ilvl="6" w:tplc="08090001" w:tentative="1">
      <w:start w:val="1"/>
      <w:numFmt w:val="bullet"/>
      <w:lvlText w:val=""/>
      <w:lvlJc w:val="left"/>
      <w:pPr>
        <w:tabs>
          <w:tab w:val="num" w:pos="4500"/>
        </w:tabs>
        <w:ind w:left="4500" w:hanging="360"/>
      </w:pPr>
      <w:rPr>
        <w:rFonts w:ascii="Symbol" w:hAnsi="Symbol" w:hint="default"/>
      </w:rPr>
    </w:lvl>
    <w:lvl w:ilvl="7" w:tplc="08090003" w:tentative="1">
      <w:start w:val="1"/>
      <w:numFmt w:val="bullet"/>
      <w:lvlText w:val="o"/>
      <w:lvlJc w:val="left"/>
      <w:pPr>
        <w:tabs>
          <w:tab w:val="num" w:pos="5220"/>
        </w:tabs>
        <w:ind w:left="5220" w:hanging="360"/>
      </w:pPr>
      <w:rPr>
        <w:rFonts w:ascii="Courier New" w:hAnsi="Courier New" w:cs="Arial" w:hint="default"/>
      </w:rPr>
    </w:lvl>
    <w:lvl w:ilvl="8" w:tplc="08090005" w:tentative="1">
      <w:start w:val="1"/>
      <w:numFmt w:val="bullet"/>
      <w:lvlText w:val=""/>
      <w:lvlJc w:val="left"/>
      <w:pPr>
        <w:tabs>
          <w:tab w:val="num" w:pos="5940"/>
        </w:tabs>
        <w:ind w:left="5940" w:hanging="360"/>
      </w:pPr>
      <w:rPr>
        <w:rFonts w:ascii="Wingdings" w:hAnsi="Wingdings" w:hint="default"/>
      </w:rPr>
    </w:lvl>
  </w:abstractNum>
  <w:abstractNum w:abstractNumId="19">
    <w:nsid w:val="34CA7395"/>
    <w:multiLevelType w:val="hybridMultilevel"/>
    <w:tmpl w:val="B718C9CA"/>
    <w:lvl w:ilvl="0" w:tplc="0809000F">
      <w:start w:val="1"/>
      <w:numFmt w:val="decimal"/>
      <w:lvlText w:val="%1."/>
      <w:lvlJc w:val="left"/>
      <w:pPr>
        <w:tabs>
          <w:tab w:val="num" w:pos="360"/>
        </w:tabs>
        <w:ind w:left="360" w:hanging="360"/>
      </w:pPr>
      <w:rPr>
        <w:rFonts w:hint="default"/>
        <w:color w:val="auto"/>
        <w:spacing w:val="0"/>
        <w:position w:val="0"/>
        <w:sz w:val="16"/>
      </w:rPr>
    </w:lvl>
    <w:lvl w:ilvl="1" w:tplc="04090003">
      <w:start w:val="1"/>
      <w:numFmt w:val="bullet"/>
      <w:lvlText w:val="o"/>
      <w:lvlJc w:val="left"/>
      <w:pPr>
        <w:tabs>
          <w:tab w:val="num" w:pos="1520"/>
        </w:tabs>
        <w:ind w:left="1520" w:hanging="360"/>
      </w:pPr>
      <w:rPr>
        <w:rFonts w:ascii="Courier New" w:hAnsi="Courier New" w:hint="default"/>
      </w:rPr>
    </w:lvl>
    <w:lvl w:ilvl="2" w:tplc="04090005" w:tentative="1">
      <w:start w:val="1"/>
      <w:numFmt w:val="bullet"/>
      <w:lvlText w:val=""/>
      <w:lvlJc w:val="left"/>
      <w:pPr>
        <w:tabs>
          <w:tab w:val="num" w:pos="2240"/>
        </w:tabs>
        <w:ind w:left="2240" w:hanging="360"/>
      </w:pPr>
      <w:rPr>
        <w:rFonts w:ascii="Wingdings" w:hAnsi="Wingdings" w:hint="default"/>
      </w:rPr>
    </w:lvl>
    <w:lvl w:ilvl="3" w:tplc="04090001" w:tentative="1">
      <w:start w:val="1"/>
      <w:numFmt w:val="bullet"/>
      <w:lvlText w:val=""/>
      <w:lvlJc w:val="left"/>
      <w:pPr>
        <w:tabs>
          <w:tab w:val="num" w:pos="2960"/>
        </w:tabs>
        <w:ind w:left="2960" w:hanging="360"/>
      </w:pPr>
      <w:rPr>
        <w:rFonts w:ascii="Symbol" w:hAnsi="Symbol" w:hint="default"/>
      </w:rPr>
    </w:lvl>
    <w:lvl w:ilvl="4" w:tplc="04090003" w:tentative="1">
      <w:start w:val="1"/>
      <w:numFmt w:val="bullet"/>
      <w:lvlText w:val="o"/>
      <w:lvlJc w:val="left"/>
      <w:pPr>
        <w:tabs>
          <w:tab w:val="num" w:pos="3680"/>
        </w:tabs>
        <w:ind w:left="3680" w:hanging="360"/>
      </w:pPr>
      <w:rPr>
        <w:rFonts w:ascii="Courier New" w:hAnsi="Courier New" w:hint="default"/>
      </w:rPr>
    </w:lvl>
    <w:lvl w:ilvl="5" w:tplc="04090005" w:tentative="1">
      <w:start w:val="1"/>
      <w:numFmt w:val="bullet"/>
      <w:lvlText w:val=""/>
      <w:lvlJc w:val="left"/>
      <w:pPr>
        <w:tabs>
          <w:tab w:val="num" w:pos="4400"/>
        </w:tabs>
        <w:ind w:left="4400" w:hanging="360"/>
      </w:pPr>
      <w:rPr>
        <w:rFonts w:ascii="Wingdings" w:hAnsi="Wingdings" w:hint="default"/>
      </w:rPr>
    </w:lvl>
    <w:lvl w:ilvl="6" w:tplc="04090001" w:tentative="1">
      <w:start w:val="1"/>
      <w:numFmt w:val="bullet"/>
      <w:lvlText w:val=""/>
      <w:lvlJc w:val="left"/>
      <w:pPr>
        <w:tabs>
          <w:tab w:val="num" w:pos="5120"/>
        </w:tabs>
        <w:ind w:left="5120" w:hanging="360"/>
      </w:pPr>
      <w:rPr>
        <w:rFonts w:ascii="Symbol" w:hAnsi="Symbol" w:hint="default"/>
      </w:rPr>
    </w:lvl>
    <w:lvl w:ilvl="7" w:tplc="04090003" w:tentative="1">
      <w:start w:val="1"/>
      <w:numFmt w:val="bullet"/>
      <w:lvlText w:val="o"/>
      <w:lvlJc w:val="left"/>
      <w:pPr>
        <w:tabs>
          <w:tab w:val="num" w:pos="5840"/>
        </w:tabs>
        <w:ind w:left="5840" w:hanging="360"/>
      </w:pPr>
      <w:rPr>
        <w:rFonts w:ascii="Courier New" w:hAnsi="Courier New" w:hint="default"/>
      </w:rPr>
    </w:lvl>
    <w:lvl w:ilvl="8" w:tplc="04090005" w:tentative="1">
      <w:start w:val="1"/>
      <w:numFmt w:val="bullet"/>
      <w:lvlText w:val=""/>
      <w:lvlJc w:val="left"/>
      <w:pPr>
        <w:tabs>
          <w:tab w:val="num" w:pos="6560"/>
        </w:tabs>
        <w:ind w:left="6560" w:hanging="360"/>
      </w:pPr>
      <w:rPr>
        <w:rFonts w:ascii="Wingdings" w:hAnsi="Wingdings" w:hint="default"/>
      </w:rPr>
    </w:lvl>
  </w:abstractNum>
  <w:abstractNum w:abstractNumId="20">
    <w:nsid w:val="40BE6E6E"/>
    <w:multiLevelType w:val="multilevel"/>
    <w:tmpl w:val="CBD646EA"/>
    <w:lvl w:ilvl="0">
      <w:start w:val="1"/>
      <w:numFmt w:val="bullet"/>
      <w:lvlText w:val=""/>
      <w:lvlJc w:val="left"/>
      <w:pPr>
        <w:tabs>
          <w:tab w:val="num" w:pos="360"/>
        </w:tabs>
        <w:ind w:left="780" w:hanging="240"/>
      </w:pPr>
      <w:rPr>
        <w:rFonts w:ascii="Symbol" w:hAnsi="Symbol" w:hint="default"/>
        <w:color w:val="auto"/>
        <w:spacing w:val="0"/>
        <w:position w:val="0"/>
        <w:sz w:val="16"/>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41E4160C"/>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2">
    <w:nsid w:val="435A2946"/>
    <w:multiLevelType w:val="hybridMultilevel"/>
    <w:tmpl w:val="C3369588"/>
    <w:lvl w:ilvl="0" w:tplc="5538D1F6">
      <w:start w:val="1"/>
      <w:numFmt w:val="decimal"/>
      <w:pStyle w:val="WEDC-Bodytextindented"/>
      <w:lvlText w:val="%1."/>
      <w:lvlJc w:val="left"/>
      <w:pPr>
        <w:tabs>
          <w:tab w:val="num" w:pos="360"/>
        </w:tabs>
        <w:ind w:left="284" w:hanging="284"/>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62670A7"/>
    <w:multiLevelType w:val="hybridMultilevel"/>
    <w:tmpl w:val="26EA56FC"/>
    <w:lvl w:ilvl="0" w:tplc="806656F4">
      <w:start w:val="1"/>
      <w:numFmt w:val="bullet"/>
      <w:pStyle w:val="WEDC-Boxtextwithbullets"/>
      <w:lvlText w:val=""/>
      <w:lvlJc w:val="left"/>
      <w:pPr>
        <w:tabs>
          <w:tab w:val="num" w:pos="360"/>
        </w:tabs>
        <w:ind w:left="780" w:hanging="240"/>
      </w:pPr>
      <w:rPr>
        <w:rFonts w:ascii="Symbol" w:hAnsi="Symbol" w:hint="default"/>
        <w:color w:val="auto"/>
        <w:spacing w:val="0"/>
        <w:position w:val="0"/>
        <w:sz w:val="16"/>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50CF506F"/>
    <w:multiLevelType w:val="multilevel"/>
    <w:tmpl w:val="09B600F0"/>
    <w:lvl w:ilvl="0">
      <w:start w:val="1"/>
      <w:numFmt w:val="bullet"/>
      <w:lvlText w:val=""/>
      <w:lvlJc w:val="left"/>
      <w:pPr>
        <w:tabs>
          <w:tab w:val="num" w:pos="-180"/>
        </w:tabs>
        <w:ind w:left="240" w:hanging="240"/>
      </w:pPr>
      <w:rPr>
        <w:rFonts w:ascii="Symbol" w:hAnsi="Symbol" w:hint="default"/>
        <w:color w:val="auto"/>
        <w:spacing w:val="0"/>
        <w:position w:val="0"/>
        <w:sz w:val="16"/>
      </w:rPr>
    </w:lvl>
    <w:lvl w:ilvl="1">
      <w:start w:val="1"/>
      <w:numFmt w:val="bullet"/>
      <w:lvlText w:val="o"/>
      <w:lvlJc w:val="left"/>
      <w:pPr>
        <w:tabs>
          <w:tab w:val="num" w:pos="1880"/>
        </w:tabs>
        <w:ind w:left="1880" w:hanging="360"/>
      </w:pPr>
      <w:rPr>
        <w:rFonts w:ascii="Courier New" w:hAnsi="Courier New" w:hint="default"/>
      </w:rPr>
    </w:lvl>
    <w:lvl w:ilvl="2">
      <w:start w:val="1"/>
      <w:numFmt w:val="bullet"/>
      <w:lvlText w:val=""/>
      <w:lvlJc w:val="left"/>
      <w:pPr>
        <w:tabs>
          <w:tab w:val="num" w:pos="2600"/>
        </w:tabs>
        <w:ind w:left="2600" w:hanging="360"/>
      </w:pPr>
      <w:rPr>
        <w:rFonts w:ascii="Wingdings" w:hAnsi="Wingdings" w:hint="default"/>
      </w:rPr>
    </w:lvl>
    <w:lvl w:ilvl="3">
      <w:start w:val="1"/>
      <w:numFmt w:val="bullet"/>
      <w:lvlText w:val=""/>
      <w:lvlJc w:val="left"/>
      <w:pPr>
        <w:tabs>
          <w:tab w:val="num" w:pos="3320"/>
        </w:tabs>
        <w:ind w:left="3320" w:hanging="360"/>
      </w:pPr>
      <w:rPr>
        <w:rFonts w:ascii="Symbol" w:hAnsi="Symbol" w:hint="default"/>
      </w:rPr>
    </w:lvl>
    <w:lvl w:ilvl="4">
      <w:start w:val="1"/>
      <w:numFmt w:val="bullet"/>
      <w:lvlText w:val="o"/>
      <w:lvlJc w:val="left"/>
      <w:pPr>
        <w:tabs>
          <w:tab w:val="num" w:pos="4040"/>
        </w:tabs>
        <w:ind w:left="4040" w:hanging="360"/>
      </w:pPr>
      <w:rPr>
        <w:rFonts w:ascii="Courier New" w:hAnsi="Courier New" w:hint="default"/>
      </w:rPr>
    </w:lvl>
    <w:lvl w:ilvl="5">
      <w:start w:val="1"/>
      <w:numFmt w:val="bullet"/>
      <w:lvlText w:val=""/>
      <w:lvlJc w:val="left"/>
      <w:pPr>
        <w:tabs>
          <w:tab w:val="num" w:pos="4760"/>
        </w:tabs>
        <w:ind w:left="4760" w:hanging="360"/>
      </w:pPr>
      <w:rPr>
        <w:rFonts w:ascii="Wingdings" w:hAnsi="Wingdings" w:hint="default"/>
      </w:rPr>
    </w:lvl>
    <w:lvl w:ilvl="6">
      <w:start w:val="1"/>
      <w:numFmt w:val="bullet"/>
      <w:lvlText w:val=""/>
      <w:lvlJc w:val="left"/>
      <w:pPr>
        <w:tabs>
          <w:tab w:val="num" w:pos="5480"/>
        </w:tabs>
        <w:ind w:left="5480" w:hanging="360"/>
      </w:pPr>
      <w:rPr>
        <w:rFonts w:ascii="Symbol" w:hAnsi="Symbol" w:hint="default"/>
      </w:rPr>
    </w:lvl>
    <w:lvl w:ilvl="7">
      <w:start w:val="1"/>
      <w:numFmt w:val="bullet"/>
      <w:lvlText w:val="o"/>
      <w:lvlJc w:val="left"/>
      <w:pPr>
        <w:tabs>
          <w:tab w:val="num" w:pos="6200"/>
        </w:tabs>
        <w:ind w:left="6200" w:hanging="360"/>
      </w:pPr>
      <w:rPr>
        <w:rFonts w:ascii="Courier New" w:hAnsi="Courier New" w:hint="default"/>
      </w:rPr>
    </w:lvl>
    <w:lvl w:ilvl="8">
      <w:start w:val="1"/>
      <w:numFmt w:val="bullet"/>
      <w:lvlText w:val=""/>
      <w:lvlJc w:val="left"/>
      <w:pPr>
        <w:tabs>
          <w:tab w:val="num" w:pos="6920"/>
        </w:tabs>
        <w:ind w:left="6920" w:hanging="360"/>
      </w:pPr>
      <w:rPr>
        <w:rFonts w:ascii="Wingdings" w:hAnsi="Wingdings" w:hint="default"/>
      </w:rPr>
    </w:lvl>
  </w:abstractNum>
  <w:abstractNum w:abstractNumId="25">
    <w:nsid w:val="79447150"/>
    <w:multiLevelType w:val="multilevel"/>
    <w:tmpl w:val="0D3031DE"/>
    <w:lvl w:ilvl="0">
      <w:start w:val="1"/>
      <w:numFmt w:val="bullet"/>
      <w:lvlText w:val=""/>
      <w:lvlJc w:val="left"/>
      <w:pPr>
        <w:tabs>
          <w:tab w:val="num" w:pos="-180"/>
        </w:tabs>
        <w:ind w:left="240" w:hanging="240"/>
      </w:pPr>
      <w:rPr>
        <w:rFonts w:ascii="SymbolProp BT" w:hAnsi="SymbolProp BT" w:hint="default"/>
        <w:color w:val="auto"/>
        <w:spacing w:val="0"/>
        <w:position w:val="-4"/>
        <w:sz w:val="20"/>
      </w:rPr>
    </w:lvl>
    <w:lvl w:ilvl="1">
      <w:start w:val="1"/>
      <w:numFmt w:val="bullet"/>
      <w:lvlText w:val="o"/>
      <w:lvlJc w:val="left"/>
      <w:pPr>
        <w:tabs>
          <w:tab w:val="num" w:pos="1880"/>
        </w:tabs>
        <w:ind w:left="1880" w:hanging="360"/>
      </w:pPr>
      <w:rPr>
        <w:rFonts w:ascii="Courier New" w:hAnsi="Courier New" w:hint="default"/>
      </w:rPr>
    </w:lvl>
    <w:lvl w:ilvl="2">
      <w:start w:val="1"/>
      <w:numFmt w:val="bullet"/>
      <w:lvlText w:val=""/>
      <w:lvlJc w:val="left"/>
      <w:pPr>
        <w:tabs>
          <w:tab w:val="num" w:pos="2600"/>
        </w:tabs>
        <w:ind w:left="2600" w:hanging="360"/>
      </w:pPr>
      <w:rPr>
        <w:rFonts w:ascii="Wingdings" w:hAnsi="Wingdings" w:hint="default"/>
      </w:rPr>
    </w:lvl>
    <w:lvl w:ilvl="3">
      <w:start w:val="1"/>
      <w:numFmt w:val="bullet"/>
      <w:lvlText w:val=""/>
      <w:lvlJc w:val="left"/>
      <w:pPr>
        <w:tabs>
          <w:tab w:val="num" w:pos="3320"/>
        </w:tabs>
        <w:ind w:left="3320" w:hanging="360"/>
      </w:pPr>
      <w:rPr>
        <w:rFonts w:ascii="Symbol" w:hAnsi="Symbol" w:hint="default"/>
      </w:rPr>
    </w:lvl>
    <w:lvl w:ilvl="4">
      <w:start w:val="1"/>
      <w:numFmt w:val="bullet"/>
      <w:lvlText w:val="o"/>
      <w:lvlJc w:val="left"/>
      <w:pPr>
        <w:tabs>
          <w:tab w:val="num" w:pos="4040"/>
        </w:tabs>
        <w:ind w:left="4040" w:hanging="360"/>
      </w:pPr>
      <w:rPr>
        <w:rFonts w:ascii="Courier New" w:hAnsi="Courier New" w:hint="default"/>
      </w:rPr>
    </w:lvl>
    <w:lvl w:ilvl="5">
      <w:start w:val="1"/>
      <w:numFmt w:val="bullet"/>
      <w:lvlText w:val=""/>
      <w:lvlJc w:val="left"/>
      <w:pPr>
        <w:tabs>
          <w:tab w:val="num" w:pos="4760"/>
        </w:tabs>
        <w:ind w:left="4760" w:hanging="360"/>
      </w:pPr>
      <w:rPr>
        <w:rFonts w:ascii="Wingdings" w:hAnsi="Wingdings" w:hint="default"/>
      </w:rPr>
    </w:lvl>
    <w:lvl w:ilvl="6">
      <w:start w:val="1"/>
      <w:numFmt w:val="bullet"/>
      <w:lvlText w:val=""/>
      <w:lvlJc w:val="left"/>
      <w:pPr>
        <w:tabs>
          <w:tab w:val="num" w:pos="5480"/>
        </w:tabs>
        <w:ind w:left="5480" w:hanging="360"/>
      </w:pPr>
      <w:rPr>
        <w:rFonts w:ascii="Symbol" w:hAnsi="Symbol" w:hint="default"/>
      </w:rPr>
    </w:lvl>
    <w:lvl w:ilvl="7">
      <w:start w:val="1"/>
      <w:numFmt w:val="bullet"/>
      <w:lvlText w:val="o"/>
      <w:lvlJc w:val="left"/>
      <w:pPr>
        <w:tabs>
          <w:tab w:val="num" w:pos="6200"/>
        </w:tabs>
        <w:ind w:left="6200" w:hanging="360"/>
      </w:pPr>
      <w:rPr>
        <w:rFonts w:ascii="Courier New" w:hAnsi="Courier New" w:hint="default"/>
      </w:rPr>
    </w:lvl>
    <w:lvl w:ilvl="8">
      <w:start w:val="1"/>
      <w:numFmt w:val="bullet"/>
      <w:lvlText w:val=""/>
      <w:lvlJc w:val="left"/>
      <w:pPr>
        <w:tabs>
          <w:tab w:val="num" w:pos="6920"/>
        </w:tabs>
        <w:ind w:left="6920" w:hanging="360"/>
      </w:pPr>
      <w:rPr>
        <w:rFonts w:ascii="Wingdings" w:hAnsi="Wingdings" w:hint="default"/>
      </w:rPr>
    </w:lvl>
  </w:abstractNum>
  <w:abstractNum w:abstractNumId="26">
    <w:nsid w:val="7F786757"/>
    <w:multiLevelType w:val="multilevel"/>
    <w:tmpl w:val="38E8988E"/>
    <w:lvl w:ilvl="0">
      <w:start w:val="1"/>
      <w:numFmt w:val="bullet"/>
      <w:lvlText w:val=""/>
      <w:lvlJc w:val="left"/>
      <w:pPr>
        <w:tabs>
          <w:tab w:val="num" w:pos="-180"/>
        </w:tabs>
        <w:ind w:left="240" w:hanging="240"/>
      </w:pPr>
      <w:rPr>
        <w:rFonts w:ascii="Symbol" w:hAnsi="Symbol" w:hint="default"/>
        <w:color w:val="auto"/>
        <w:spacing w:val="0"/>
        <w:position w:val="0"/>
        <w:sz w:val="20"/>
      </w:rPr>
    </w:lvl>
    <w:lvl w:ilvl="1">
      <w:start w:val="1"/>
      <w:numFmt w:val="bullet"/>
      <w:lvlText w:val="o"/>
      <w:lvlJc w:val="left"/>
      <w:pPr>
        <w:tabs>
          <w:tab w:val="num" w:pos="1880"/>
        </w:tabs>
        <w:ind w:left="1880" w:hanging="360"/>
      </w:pPr>
      <w:rPr>
        <w:rFonts w:ascii="Courier New" w:hAnsi="Courier New" w:hint="default"/>
      </w:rPr>
    </w:lvl>
    <w:lvl w:ilvl="2">
      <w:start w:val="1"/>
      <w:numFmt w:val="bullet"/>
      <w:lvlText w:val=""/>
      <w:lvlJc w:val="left"/>
      <w:pPr>
        <w:tabs>
          <w:tab w:val="num" w:pos="2600"/>
        </w:tabs>
        <w:ind w:left="2600" w:hanging="360"/>
      </w:pPr>
      <w:rPr>
        <w:rFonts w:ascii="Wingdings" w:hAnsi="Wingdings" w:hint="default"/>
      </w:rPr>
    </w:lvl>
    <w:lvl w:ilvl="3">
      <w:start w:val="1"/>
      <w:numFmt w:val="bullet"/>
      <w:lvlText w:val=""/>
      <w:lvlJc w:val="left"/>
      <w:pPr>
        <w:tabs>
          <w:tab w:val="num" w:pos="3320"/>
        </w:tabs>
        <w:ind w:left="3320" w:hanging="360"/>
      </w:pPr>
      <w:rPr>
        <w:rFonts w:ascii="Symbol" w:hAnsi="Symbol" w:hint="default"/>
      </w:rPr>
    </w:lvl>
    <w:lvl w:ilvl="4">
      <w:start w:val="1"/>
      <w:numFmt w:val="bullet"/>
      <w:lvlText w:val="o"/>
      <w:lvlJc w:val="left"/>
      <w:pPr>
        <w:tabs>
          <w:tab w:val="num" w:pos="4040"/>
        </w:tabs>
        <w:ind w:left="4040" w:hanging="360"/>
      </w:pPr>
      <w:rPr>
        <w:rFonts w:ascii="Courier New" w:hAnsi="Courier New" w:hint="default"/>
      </w:rPr>
    </w:lvl>
    <w:lvl w:ilvl="5">
      <w:start w:val="1"/>
      <w:numFmt w:val="bullet"/>
      <w:lvlText w:val=""/>
      <w:lvlJc w:val="left"/>
      <w:pPr>
        <w:tabs>
          <w:tab w:val="num" w:pos="4760"/>
        </w:tabs>
        <w:ind w:left="4760" w:hanging="360"/>
      </w:pPr>
      <w:rPr>
        <w:rFonts w:ascii="Wingdings" w:hAnsi="Wingdings" w:hint="default"/>
      </w:rPr>
    </w:lvl>
    <w:lvl w:ilvl="6">
      <w:start w:val="1"/>
      <w:numFmt w:val="bullet"/>
      <w:lvlText w:val=""/>
      <w:lvlJc w:val="left"/>
      <w:pPr>
        <w:tabs>
          <w:tab w:val="num" w:pos="5480"/>
        </w:tabs>
        <w:ind w:left="5480" w:hanging="360"/>
      </w:pPr>
      <w:rPr>
        <w:rFonts w:ascii="Symbol" w:hAnsi="Symbol" w:hint="default"/>
      </w:rPr>
    </w:lvl>
    <w:lvl w:ilvl="7">
      <w:start w:val="1"/>
      <w:numFmt w:val="bullet"/>
      <w:lvlText w:val="o"/>
      <w:lvlJc w:val="left"/>
      <w:pPr>
        <w:tabs>
          <w:tab w:val="num" w:pos="6200"/>
        </w:tabs>
        <w:ind w:left="6200" w:hanging="360"/>
      </w:pPr>
      <w:rPr>
        <w:rFonts w:ascii="Courier New" w:hAnsi="Courier New" w:hint="default"/>
      </w:rPr>
    </w:lvl>
    <w:lvl w:ilvl="8">
      <w:start w:val="1"/>
      <w:numFmt w:val="bullet"/>
      <w:lvlText w:val=""/>
      <w:lvlJc w:val="left"/>
      <w:pPr>
        <w:tabs>
          <w:tab w:val="num" w:pos="6920"/>
        </w:tabs>
        <w:ind w:left="6920" w:hanging="360"/>
      </w:pPr>
      <w:rPr>
        <w:rFonts w:ascii="Wingdings" w:hAnsi="Wingdings" w:hint="default"/>
      </w:rPr>
    </w:lvl>
  </w:abstractNum>
  <w:num w:numId="1">
    <w:abstractNumId w:val="10"/>
  </w:num>
  <w:num w:numId="2">
    <w:abstractNumId w:val="22"/>
  </w:num>
  <w:num w:numId="3">
    <w:abstractNumId w:val="9"/>
  </w:num>
  <w:num w:numId="4">
    <w:abstractNumId w:val="7"/>
  </w:num>
  <w:num w:numId="5">
    <w:abstractNumId w:val="6"/>
  </w:num>
  <w:num w:numId="6">
    <w:abstractNumId w:val="5"/>
  </w:num>
  <w:num w:numId="7">
    <w:abstractNumId w:val="8"/>
  </w:num>
  <w:num w:numId="8">
    <w:abstractNumId w:val="4"/>
  </w:num>
  <w:num w:numId="9">
    <w:abstractNumId w:val="3"/>
  </w:num>
  <w:num w:numId="10">
    <w:abstractNumId w:val="2"/>
  </w:num>
  <w:num w:numId="11">
    <w:abstractNumId w:val="1"/>
  </w:num>
  <w:num w:numId="12">
    <w:abstractNumId w:val="21"/>
  </w:num>
  <w:num w:numId="13">
    <w:abstractNumId w:val="11"/>
  </w:num>
  <w:num w:numId="14">
    <w:abstractNumId w:val="12"/>
  </w:num>
  <w:num w:numId="15">
    <w:abstractNumId w:val="18"/>
  </w:num>
  <w:num w:numId="16">
    <w:abstractNumId w:val="23"/>
  </w:num>
  <w:num w:numId="17">
    <w:abstractNumId w:val="25"/>
  </w:num>
  <w:num w:numId="18">
    <w:abstractNumId w:val="14"/>
  </w:num>
  <w:num w:numId="19">
    <w:abstractNumId w:val="26"/>
  </w:num>
  <w:num w:numId="20">
    <w:abstractNumId w:val="24"/>
  </w:num>
  <w:num w:numId="21">
    <w:abstractNumId w:val="20"/>
  </w:num>
  <w:num w:numId="22">
    <w:abstractNumId w:val="17"/>
  </w:num>
  <w:num w:numId="23">
    <w:abstractNumId w:val="19"/>
  </w:num>
  <w:num w:numId="24">
    <w:abstractNumId w:val="0"/>
  </w:num>
  <w:num w:numId="25">
    <w:abstractNumId w:val="15"/>
  </w:num>
  <w:num w:numId="26">
    <w:abstractNumId w:val="13"/>
  </w:num>
  <w:num w:numId="27">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78"/>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7D21"/>
    <w:rsid w:val="00001BAC"/>
    <w:rsid w:val="000148A0"/>
    <w:rsid w:val="0002277E"/>
    <w:rsid w:val="00030A9B"/>
    <w:rsid w:val="00037EA9"/>
    <w:rsid w:val="00061FD3"/>
    <w:rsid w:val="00062698"/>
    <w:rsid w:val="00091137"/>
    <w:rsid w:val="000C4277"/>
    <w:rsid w:val="000E2888"/>
    <w:rsid w:val="00121142"/>
    <w:rsid w:val="00122C8C"/>
    <w:rsid w:val="0017064B"/>
    <w:rsid w:val="001A255B"/>
    <w:rsid w:val="001C564F"/>
    <w:rsid w:val="001E7F30"/>
    <w:rsid w:val="001F4A98"/>
    <w:rsid w:val="00203428"/>
    <w:rsid w:val="002106A3"/>
    <w:rsid w:val="0022124C"/>
    <w:rsid w:val="002504EC"/>
    <w:rsid w:val="00276A07"/>
    <w:rsid w:val="00280C8B"/>
    <w:rsid w:val="00283018"/>
    <w:rsid w:val="00286D8A"/>
    <w:rsid w:val="002B0EAE"/>
    <w:rsid w:val="002C7EF1"/>
    <w:rsid w:val="002D747A"/>
    <w:rsid w:val="002D7DE2"/>
    <w:rsid w:val="002F76BD"/>
    <w:rsid w:val="0031192A"/>
    <w:rsid w:val="00312B99"/>
    <w:rsid w:val="00333889"/>
    <w:rsid w:val="003623B1"/>
    <w:rsid w:val="00371C8B"/>
    <w:rsid w:val="00385671"/>
    <w:rsid w:val="003879B3"/>
    <w:rsid w:val="00390D2B"/>
    <w:rsid w:val="003A6EFF"/>
    <w:rsid w:val="003F00F4"/>
    <w:rsid w:val="003F065C"/>
    <w:rsid w:val="003F6547"/>
    <w:rsid w:val="0041278B"/>
    <w:rsid w:val="00415EE2"/>
    <w:rsid w:val="004172B4"/>
    <w:rsid w:val="00423DEF"/>
    <w:rsid w:val="00451812"/>
    <w:rsid w:val="00454F93"/>
    <w:rsid w:val="0047566F"/>
    <w:rsid w:val="004908B3"/>
    <w:rsid w:val="004A5673"/>
    <w:rsid w:val="004C5CBD"/>
    <w:rsid w:val="004D5CAF"/>
    <w:rsid w:val="004E419B"/>
    <w:rsid w:val="004F2B84"/>
    <w:rsid w:val="004F695A"/>
    <w:rsid w:val="00510AB0"/>
    <w:rsid w:val="00523ECF"/>
    <w:rsid w:val="00531031"/>
    <w:rsid w:val="00532E87"/>
    <w:rsid w:val="00537C34"/>
    <w:rsid w:val="00545A87"/>
    <w:rsid w:val="00552610"/>
    <w:rsid w:val="005A0884"/>
    <w:rsid w:val="005B0BA8"/>
    <w:rsid w:val="005B1913"/>
    <w:rsid w:val="005D5485"/>
    <w:rsid w:val="005D6C61"/>
    <w:rsid w:val="00601A48"/>
    <w:rsid w:val="00607EAA"/>
    <w:rsid w:val="00610AC5"/>
    <w:rsid w:val="0062248A"/>
    <w:rsid w:val="00630BDF"/>
    <w:rsid w:val="0064241E"/>
    <w:rsid w:val="0064575D"/>
    <w:rsid w:val="00672CF0"/>
    <w:rsid w:val="006825B8"/>
    <w:rsid w:val="00691736"/>
    <w:rsid w:val="006929A9"/>
    <w:rsid w:val="00697EFD"/>
    <w:rsid w:val="006C4CB0"/>
    <w:rsid w:val="006C74F7"/>
    <w:rsid w:val="006F1F7C"/>
    <w:rsid w:val="006F5B15"/>
    <w:rsid w:val="007316B9"/>
    <w:rsid w:val="00757C7C"/>
    <w:rsid w:val="007612DE"/>
    <w:rsid w:val="007715CC"/>
    <w:rsid w:val="007C35B3"/>
    <w:rsid w:val="007D2D03"/>
    <w:rsid w:val="00802274"/>
    <w:rsid w:val="00813171"/>
    <w:rsid w:val="0082341A"/>
    <w:rsid w:val="008453AC"/>
    <w:rsid w:val="008476BF"/>
    <w:rsid w:val="00856B81"/>
    <w:rsid w:val="008728AE"/>
    <w:rsid w:val="008740AB"/>
    <w:rsid w:val="0087602C"/>
    <w:rsid w:val="008A2ACC"/>
    <w:rsid w:val="008C2AC8"/>
    <w:rsid w:val="008E1D6D"/>
    <w:rsid w:val="008F7249"/>
    <w:rsid w:val="00902559"/>
    <w:rsid w:val="00914F2A"/>
    <w:rsid w:val="0093040E"/>
    <w:rsid w:val="009338AE"/>
    <w:rsid w:val="0095251D"/>
    <w:rsid w:val="00993895"/>
    <w:rsid w:val="009A7502"/>
    <w:rsid w:val="009B359D"/>
    <w:rsid w:val="009B758B"/>
    <w:rsid w:val="009C6F39"/>
    <w:rsid w:val="009D45B6"/>
    <w:rsid w:val="009D617A"/>
    <w:rsid w:val="009E308A"/>
    <w:rsid w:val="009E3B27"/>
    <w:rsid w:val="009E71F1"/>
    <w:rsid w:val="00A04AF5"/>
    <w:rsid w:val="00A10525"/>
    <w:rsid w:val="00A16E59"/>
    <w:rsid w:val="00A26918"/>
    <w:rsid w:val="00A44BE7"/>
    <w:rsid w:val="00A71281"/>
    <w:rsid w:val="00A71326"/>
    <w:rsid w:val="00A7452B"/>
    <w:rsid w:val="00A764AE"/>
    <w:rsid w:val="00A91C8E"/>
    <w:rsid w:val="00A93862"/>
    <w:rsid w:val="00A973BC"/>
    <w:rsid w:val="00AA08C8"/>
    <w:rsid w:val="00AA0B80"/>
    <w:rsid w:val="00AA1399"/>
    <w:rsid w:val="00AA17B2"/>
    <w:rsid w:val="00AA3B77"/>
    <w:rsid w:val="00AC3664"/>
    <w:rsid w:val="00AD3F36"/>
    <w:rsid w:val="00AE30C4"/>
    <w:rsid w:val="00B0704C"/>
    <w:rsid w:val="00B1336A"/>
    <w:rsid w:val="00B32544"/>
    <w:rsid w:val="00B415FA"/>
    <w:rsid w:val="00B435CA"/>
    <w:rsid w:val="00B62FA9"/>
    <w:rsid w:val="00B654FD"/>
    <w:rsid w:val="00B67D80"/>
    <w:rsid w:val="00B701E4"/>
    <w:rsid w:val="00B74470"/>
    <w:rsid w:val="00B76F09"/>
    <w:rsid w:val="00BA2008"/>
    <w:rsid w:val="00BA226A"/>
    <w:rsid w:val="00BC123F"/>
    <w:rsid w:val="00BE1779"/>
    <w:rsid w:val="00C13974"/>
    <w:rsid w:val="00C37F6B"/>
    <w:rsid w:val="00C47163"/>
    <w:rsid w:val="00C677C6"/>
    <w:rsid w:val="00C73FBA"/>
    <w:rsid w:val="00CC01C7"/>
    <w:rsid w:val="00CC400B"/>
    <w:rsid w:val="00CD6B20"/>
    <w:rsid w:val="00CE70D3"/>
    <w:rsid w:val="00D00629"/>
    <w:rsid w:val="00D26114"/>
    <w:rsid w:val="00D30DB6"/>
    <w:rsid w:val="00D35216"/>
    <w:rsid w:val="00D644C9"/>
    <w:rsid w:val="00D9393E"/>
    <w:rsid w:val="00DB184F"/>
    <w:rsid w:val="00DB2C7A"/>
    <w:rsid w:val="00E2618F"/>
    <w:rsid w:val="00E37D21"/>
    <w:rsid w:val="00E83088"/>
    <w:rsid w:val="00E8421D"/>
    <w:rsid w:val="00EB0A7D"/>
    <w:rsid w:val="00EB736A"/>
    <w:rsid w:val="00ED6E47"/>
    <w:rsid w:val="00EE0245"/>
    <w:rsid w:val="00F03858"/>
    <w:rsid w:val="00F174A6"/>
    <w:rsid w:val="00F17CC1"/>
    <w:rsid w:val="00F21788"/>
    <w:rsid w:val="00F227AC"/>
    <w:rsid w:val="00F478E6"/>
    <w:rsid w:val="00F57771"/>
    <w:rsid w:val="00F756A1"/>
    <w:rsid w:val="00F961D0"/>
    <w:rsid w:val="00FB54D0"/>
    <w:rsid w:val="00FC0591"/>
    <w:rsid w:val="00FD1761"/>
    <w:rsid w:val="00FF169E"/>
    <w:rsid w:val="00FF71FB"/>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58A9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E70D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Cs/>
      <w:color w:val="000000"/>
      <w:szCs w:val="24"/>
    </w:rPr>
  </w:style>
  <w:style w:type="paragraph" w:styleId="Titolo1">
    <w:name w:val="heading 1"/>
    <w:aliases w:val="WEDC Heading 1"/>
    <w:next w:val="WEDC-Bodytext-P1"/>
    <w:link w:val="Titolo1Carattere"/>
    <w:uiPriority w:val="9"/>
    <w:qFormat/>
    <w:pPr>
      <w:tabs>
        <w:tab w:val="left" w:pos="170"/>
        <w:tab w:val="left" w:pos="340"/>
        <w:tab w:val="left" w:pos="510"/>
      </w:tabs>
      <w:spacing w:line="300" w:lineRule="exact"/>
      <w:outlineLvl w:val="0"/>
    </w:pPr>
    <w:rPr>
      <w:rFonts w:ascii="Arial" w:hAnsi="Arial" w:cs="Arial"/>
      <w:b/>
      <w:color w:val="000000"/>
      <w:sz w:val="23"/>
      <w:szCs w:val="23"/>
      <w:lang w:val="en-GB"/>
    </w:rPr>
  </w:style>
  <w:style w:type="paragraph" w:styleId="Titolo2">
    <w:name w:val="heading 2"/>
    <w:aliases w:val="WEDC - Heading 2"/>
    <w:next w:val="WEDC-Bodytext-P1"/>
    <w:link w:val="Titolo2Carattere"/>
    <w:qFormat/>
    <w:pPr>
      <w:tabs>
        <w:tab w:val="left" w:pos="170"/>
        <w:tab w:val="left" w:pos="283"/>
        <w:tab w:val="left" w:pos="454"/>
      </w:tabs>
      <w:spacing w:line="240" w:lineRule="exact"/>
      <w:outlineLvl w:val="1"/>
    </w:pPr>
    <w:rPr>
      <w:rFonts w:ascii="Arial" w:hAnsi="Arial" w:cs="Arial"/>
      <w:b/>
      <w:color w:val="000000"/>
      <w:lang w:val="en-GB"/>
    </w:rPr>
  </w:style>
  <w:style w:type="paragraph" w:styleId="Titolo3">
    <w:name w:val="heading 3"/>
    <w:aliases w:val="WEDC - Heading 3"/>
    <w:next w:val="WEDC-Bodytext-P1"/>
    <w:link w:val="Titolo3Carattere"/>
    <w:qFormat/>
    <w:pPr>
      <w:outlineLvl w:val="2"/>
    </w:pPr>
    <w:rPr>
      <w:b/>
      <w:i/>
      <w:iCs/>
      <w:color w:val="000000"/>
      <w:lang w:val="en-GB"/>
    </w:rPr>
  </w:style>
  <w:style w:type="paragraph" w:styleId="Titolo4">
    <w:name w:val="heading 4"/>
    <w:aliases w:val="WEDC - Heading 4"/>
    <w:next w:val="Normale"/>
    <w:link w:val="Titolo4Carattere"/>
    <w:qFormat/>
    <w:pPr>
      <w:keepNext/>
      <w:outlineLvl w:val="3"/>
    </w:pPr>
    <w:rPr>
      <w:i/>
      <w:iCs/>
      <w:color w:val="000000"/>
      <w:szCs w:val="28"/>
      <w:lang w:val="en-GB"/>
    </w:rPr>
  </w:style>
  <w:style w:type="paragraph" w:styleId="Titolo5">
    <w:name w:val="heading 5"/>
    <w:basedOn w:val="Normale"/>
    <w:next w:val="Normale"/>
    <w:qFormat/>
    <w:pPr>
      <w:spacing w:before="240" w:after="60"/>
      <w:outlineLvl w:val="4"/>
    </w:pPr>
    <w:rPr>
      <w:b/>
      <w:i/>
      <w:iCs/>
      <w:sz w:val="26"/>
      <w:szCs w:val="26"/>
    </w:rPr>
  </w:style>
  <w:style w:type="paragraph" w:styleId="Titolo6">
    <w:name w:val="heading 6"/>
    <w:basedOn w:val="Normale"/>
    <w:next w:val="Normale"/>
    <w:qFormat/>
    <w:pPr>
      <w:spacing w:before="240" w:after="60"/>
      <w:outlineLvl w:val="5"/>
    </w:pPr>
    <w:rPr>
      <w:b/>
      <w:bCs w:val="0"/>
      <w:sz w:val="22"/>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EDC-Bodytext-P1">
    <w:name w:val="WEDC - Body text - P1"/>
    <w:link w:val="WEDC-Bodytext-P1CharChar"/>
    <w:pPr>
      <w:tabs>
        <w:tab w:val="left" w:pos="170"/>
        <w:tab w:val="left" w:pos="283"/>
        <w:tab w:val="left" w:pos="454"/>
      </w:tabs>
      <w:spacing w:line="240" w:lineRule="atLeast"/>
      <w:jc w:val="both"/>
    </w:pPr>
    <w:rPr>
      <w:bCs/>
      <w:color w:val="000000"/>
      <w:spacing w:val="-2"/>
      <w:lang w:val="en-GB"/>
    </w:rPr>
  </w:style>
  <w:style w:type="paragraph" w:styleId="Intestazione">
    <w:name w:val="header"/>
    <w:aliases w:val="WEDC - Header"/>
    <w:pPr>
      <w:tabs>
        <w:tab w:val="center" w:pos="4153"/>
        <w:tab w:val="right" w:pos="8306"/>
      </w:tabs>
      <w:spacing w:before="15" w:after="15"/>
      <w:jc w:val="center"/>
    </w:pPr>
    <w:rPr>
      <w:bCs/>
      <w:caps/>
      <w:color w:val="000000"/>
      <w:sz w:val="18"/>
      <w:szCs w:val="24"/>
      <w:lang w:val="en-GB"/>
    </w:rPr>
  </w:style>
  <w:style w:type="paragraph" w:styleId="Pidipagina">
    <w:name w:val="footer"/>
    <w:basedOn w:val="Normale"/>
    <w:semiHidden/>
    <w:pPr>
      <w:tabs>
        <w:tab w:val="center" w:pos="4153"/>
        <w:tab w:val="right" w:pos="8306"/>
      </w:tabs>
    </w:pPr>
  </w:style>
  <w:style w:type="character" w:styleId="Numeropagina">
    <w:name w:val="page number"/>
    <w:semiHidden/>
    <w:rPr>
      <w:rFonts w:ascii="Times New Roman" w:hAnsi="Times New Roman"/>
      <w:sz w:val="20"/>
    </w:rPr>
  </w:style>
  <w:style w:type="paragraph" w:customStyle="1" w:styleId="WEDC-Bodytextwithbulletpoint">
    <w:name w:val="WEDC - Body text with bullet point"/>
    <w:rsid w:val="008728AE"/>
    <w:pPr>
      <w:numPr>
        <w:numId w:val="1"/>
      </w:numPr>
      <w:tabs>
        <w:tab w:val="left" w:pos="170"/>
        <w:tab w:val="left" w:pos="284"/>
        <w:tab w:val="left" w:pos="340"/>
      </w:tabs>
      <w:spacing w:line="240" w:lineRule="atLeast"/>
    </w:pPr>
    <w:rPr>
      <w:bCs/>
      <w:color w:val="000000"/>
      <w:spacing w:val="-2"/>
      <w:lang w:val="en-GB"/>
    </w:rPr>
  </w:style>
  <w:style w:type="paragraph" w:customStyle="1" w:styleId="WEDC-Titleofconference">
    <w:name w:val="WEDC - Title of conference"/>
    <w:pPr>
      <w:autoSpaceDE w:val="0"/>
      <w:autoSpaceDN w:val="0"/>
      <w:adjustRightInd w:val="0"/>
      <w:jc w:val="center"/>
    </w:pPr>
    <w:rPr>
      <w:caps/>
      <w:color w:val="000000"/>
      <w:sz w:val="24"/>
      <w:szCs w:val="24"/>
    </w:rPr>
  </w:style>
  <w:style w:type="paragraph" w:customStyle="1" w:styleId="WEDC-Titleofpaper">
    <w:name w:val="WEDC - Title of paper"/>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line="360" w:lineRule="exact"/>
      <w:jc w:val="center"/>
    </w:pPr>
    <w:rPr>
      <w:rFonts w:ascii="Arial" w:hAnsi="Arial" w:cs="Arial"/>
      <w:b/>
      <w:bCs/>
      <w:sz w:val="30"/>
      <w:szCs w:val="30"/>
      <w:lang w:val="en-GB"/>
    </w:rPr>
  </w:style>
  <w:style w:type="paragraph" w:customStyle="1" w:styleId="WEDC-Abstract">
    <w:name w:val="WEDC - Abstract"/>
    <w:pPr>
      <w:tabs>
        <w:tab w:val="left" w:pos="170"/>
        <w:tab w:val="left" w:pos="283"/>
        <w:tab w:val="left" w:pos="45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240" w:lineRule="exact"/>
      <w:jc w:val="both"/>
    </w:pPr>
    <w:rPr>
      <w:i/>
      <w:iCs/>
      <w:color w:val="000000"/>
      <w:lang w:val="en-GB"/>
    </w:rPr>
  </w:style>
  <w:style w:type="paragraph" w:customStyle="1" w:styleId="WEDC-Referencesheading">
    <w:name w:val="WEDC - References heading"/>
    <w:pPr>
      <w:pBdr>
        <w:top w:val="single" w:sz="2" w:space="6" w:color="auto"/>
        <w:between w:val="single" w:sz="2" w:space="6" w:color="auto"/>
      </w:pBdr>
      <w:tabs>
        <w:tab w:val="left" w:pos="1417"/>
        <w:tab w:val="left" w:pos="1984"/>
      </w:tabs>
      <w:ind w:left="284" w:hanging="284"/>
    </w:pPr>
    <w:rPr>
      <w:rFonts w:ascii="Arial" w:hAnsi="Arial" w:cs="Arial"/>
      <w:b/>
      <w:color w:val="000000"/>
      <w:lang w:val="en-GB"/>
    </w:rPr>
  </w:style>
  <w:style w:type="paragraph" w:customStyle="1" w:styleId="WEDC-OFFICEUSE">
    <w:name w:val="WEDC - OFFICE USE"/>
    <w:rPr>
      <w:b/>
      <w:bCs/>
      <w:caps/>
      <w:color w:val="000000"/>
      <w:sz w:val="18"/>
      <w:szCs w:val="24"/>
      <w:lang w:val="en-GB"/>
    </w:rPr>
  </w:style>
  <w:style w:type="paragraph" w:customStyle="1" w:styleId="WEDC-Authorsandcountry">
    <w:name w:val="WEDC - Author/s and country"/>
    <w:pPr>
      <w:spacing w:before="15" w:after="15" w:line="240" w:lineRule="atLeast"/>
      <w:jc w:val="center"/>
    </w:pPr>
    <w:rPr>
      <w:bCs/>
      <w:i/>
      <w:color w:val="000000"/>
      <w:sz w:val="24"/>
      <w:szCs w:val="24"/>
      <w:lang w:val="en-GB"/>
    </w:rPr>
  </w:style>
  <w:style w:type="paragraph" w:styleId="Bibliografia">
    <w:name w:val="Bibliography"/>
    <w:basedOn w:val="Normale"/>
    <w:next w:val="Normale"/>
    <w:uiPriority w:val="37"/>
    <w:unhideWhenUsed/>
    <w:rsid w:val="00A44BE7"/>
  </w:style>
  <w:style w:type="paragraph" w:customStyle="1" w:styleId="WEDC-050space">
    <w:name w:val="WEDC - 0.50 space"/>
    <w:link w:val="WEDC-050spaceCharChar"/>
    <w:pPr>
      <w:autoSpaceDE w:val="0"/>
      <w:autoSpaceDN w:val="0"/>
      <w:adjustRightInd w:val="0"/>
      <w:spacing w:line="120" w:lineRule="exact"/>
      <w:jc w:val="both"/>
    </w:pPr>
    <w:rPr>
      <w:sz w:val="18"/>
      <w:szCs w:val="12"/>
    </w:rPr>
  </w:style>
  <w:style w:type="paragraph" w:customStyle="1" w:styleId="WEDC-Bodytext-P2">
    <w:name w:val="WEDC - Body text - P2"/>
    <w:pPr>
      <w:tabs>
        <w:tab w:val="left" w:pos="170"/>
        <w:tab w:val="left" w:pos="283"/>
        <w:tab w:val="left" w:pos="45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240" w:lineRule="atLeast"/>
      <w:ind w:firstLine="170"/>
      <w:jc w:val="both"/>
    </w:pPr>
    <w:rPr>
      <w:color w:val="000000"/>
      <w:spacing w:val="-2"/>
      <w:lang w:val="en-GB"/>
    </w:rPr>
  </w:style>
  <w:style w:type="paragraph" w:customStyle="1" w:styleId="WEDC-References">
    <w:name w:val="WEDC - References"/>
    <w:pPr>
      <w:tabs>
        <w:tab w:val="left" w:pos="170"/>
        <w:tab w:val="left" w:pos="283"/>
        <w:tab w:val="left" w:pos="45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240" w:lineRule="atLeast"/>
      <w:ind w:left="180" w:hanging="180"/>
    </w:pPr>
    <w:rPr>
      <w:lang w:val="en-GB"/>
    </w:rPr>
  </w:style>
  <w:style w:type="paragraph" w:customStyle="1" w:styleId="WEDC-Image">
    <w:name w:val="WEDC - Image"/>
    <w:pPr>
      <w:spacing w:line="240" w:lineRule="atLeast"/>
      <w:jc w:val="center"/>
    </w:pPr>
    <w:rPr>
      <w:rFonts w:ascii="Arial" w:hAnsi="Arial"/>
      <w:bCs/>
      <w:caps/>
      <w:color w:val="000000"/>
      <w:sz w:val="18"/>
      <w:szCs w:val="24"/>
      <w:lang w:val="en-GB"/>
    </w:rPr>
  </w:style>
  <w:style w:type="character" w:customStyle="1" w:styleId="WEDC-Bodytext-P1CharChar">
    <w:name w:val="WEDC - Body text - P1 Char Char"/>
    <w:link w:val="WEDC-Bodytext-P1"/>
    <w:rPr>
      <w:bCs/>
      <w:color w:val="000000"/>
      <w:spacing w:val="-2"/>
      <w:lang w:val="en-GB" w:eastAsia="en-US" w:bidi="ar-SA"/>
    </w:rPr>
  </w:style>
  <w:style w:type="paragraph" w:customStyle="1" w:styleId="WEDC-Bodytextindented">
    <w:name w:val="WEDC - Body text indented"/>
    <w:link w:val="WEDC-BodytextindentedCharChar"/>
    <w:rsid w:val="008728AE"/>
    <w:pPr>
      <w:numPr>
        <w:numId w:val="2"/>
      </w:numPr>
      <w:tabs>
        <w:tab w:val="clear" w:pos="360"/>
        <w:tab w:val="left" w:pos="170"/>
        <w:tab w:val="left" w:pos="284"/>
        <w:tab w:val="left" w:pos="340"/>
        <w:tab w:val="left" w:pos="510"/>
        <w:tab w:val="left" w:pos="680"/>
      </w:tabs>
    </w:pPr>
    <w:rPr>
      <w:bCs/>
      <w:color w:val="000000"/>
      <w:spacing w:val="-2"/>
      <w:lang w:val="en-GB"/>
    </w:rPr>
  </w:style>
  <w:style w:type="paragraph" w:customStyle="1" w:styleId="WEDC-Tablecellheading">
    <w:name w:val="WEDC - Table cell heading"/>
    <w:rPr>
      <w:rFonts w:ascii="Arial" w:hAnsi="Arial"/>
      <w:b/>
      <w:sz w:val="16"/>
      <w:lang w:val="en-GB"/>
    </w:rPr>
  </w:style>
  <w:style w:type="paragraph" w:customStyle="1" w:styleId="WEDC-Tabletext">
    <w:name w:val="WEDC - Table text"/>
    <w:pPr>
      <w:tabs>
        <w:tab w:val="left" w:pos="170"/>
        <w:tab w:val="left" w:pos="340"/>
        <w:tab w:val="left" w:pos="510"/>
        <w:tab w:val="left" w:pos="680"/>
      </w:tabs>
    </w:pPr>
    <w:rPr>
      <w:rFonts w:ascii="Arial" w:hAnsi="Arial" w:cs="Arial"/>
      <w:bCs/>
      <w:sz w:val="16"/>
      <w:szCs w:val="16"/>
      <w:lang w:val="en-GB"/>
    </w:rPr>
  </w:style>
  <w:style w:type="paragraph" w:customStyle="1" w:styleId="WEDC-Tabletitle">
    <w:name w:val="WEDC - Table title"/>
    <w:pPr>
      <w:keepNext/>
    </w:pPr>
    <w:rPr>
      <w:rFonts w:ascii="Arial" w:hAnsi="Arial" w:cs="Arial"/>
      <w:b/>
      <w:sz w:val="18"/>
      <w:lang w:val="en-GB"/>
    </w:rPr>
  </w:style>
  <w:style w:type="paragraph" w:customStyle="1" w:styleId="WEDC-Figuretitle">
    <w:name w:val="WEDC - Figure title"/>
    <w:pPr>
      <w:spacing w:line="240" w:lineRule="atLeast"/>
      <w:jc w:val="center"/>
    </w:pPr>
    <w:rPr>
      <w:rFonts w:ascii="Arial" w:hAnsi="Arial" w:cs="Arial"/>
      <w:b/>
      <w:sz w:val="18"/>
      <w:lang w:val="en-GB"/>
    </w:rPr>
  </w:style>
  <w:style w:type="paragraph" w:customStyle="1" w:styleId="WEDC-Boxtext">
    <w:name w:val="WEDC - Box text"/>
    <w:pPr>
      <w:tabs>
        <w:tab w:val="left" w:pos="170"/>
        <w:tab w:val="left" w:pos="340"/>
        <w:tab w:val="left" w:pos="510"/>
      </w:tabs>
      <w:spacing w:line="240" w:lineRule="atLeast"/>
    </w:pPr>
    <w:rPr>
      <w:rFonts w:ascii="Arial" w:hAnsi="Arial" w:cs="Arial"/>
      <w:sz w:val="17"/>
      <w:lang w:val="en-GB"/>
    </w:rPr>
  </w:style>
  <w:style w:type="paragraph" w:styleId="Corpodeltesto">
    <w:name w:val="Body Text"/>
    <w:basedOn w:val="Normale"/>
    <w:semiHidden/>
    <w:pPr>
      <w:spacing w:after="120"/>
    </w:pPr>
  </w:style>
  <w:style w:type="numbering" w:styleId="111111">
    <w:name w:val="Outline List 2"/>
    <w:basedOn w:val="Nessunelenco"/>
    <w:semiHidden/>
    <w:pPr>
      <w:numPr>
        <w:numId w:val="12"/>
      </w:numPr>
    </w:pPr>
  </w:style>
  <w:style w:type="numbering" w:styleId="1ai">
    <w:name w:val="Outline List 1"/>
    <w:basedOn w:val="Nessunelenco"/>
    <w:semiHidden/>
    <w:pPr>
      <w:numPr>
        <w:numId w:val="13"/>
      </w:numPr>
    </w:pPr>
  </w:style>
  <w:style w:type="numbering" w:styleId="ArticoloSezione">
    <w:name w:val="Outline List 3"/>
    <w:basedOn w:val="Nessunelenco"/>
    <w:semiHidden/>
    <w:pPr>
      <w:numPr>
        <w:numId w:val="14"/>
      </w:numPr>
    </w:pPr>
  </w:style>
  <w:style w:type="paragraph" w:styleId="Bloccoditesto">
    <w:name w:val="Block Text"/>
    <w:basedOn w:val="Normale"/>
    <w:semiHidden/>
    <w:pPr>
      <w:spacing w:after="120"/>
      <w:ind w:left="1440" w:right="1440"/>
    </w:pPr>
  </w:style>
  <w:style w:type="paragraph" w:styleId="Corpodeltesto2">
    <w:name w:val="Body Text 2"/>
    <w:basedOn w:val="Normale"/>
    <w:semiHidden/>
    <w:pPr>
      <w:spacing w:after="120" w:line="480" w:lineRule="auto"/>
    </w:pPr>
  </w:style>
  <w:style w:type="paragraph" w:styleId="Corpodeltesto3">
    <w:name w:val="Body Text 3"/>
    <w:basedOn w:val="Normale"/>
    <w:semiHidden/>
    <w:pPr>
      <w:spacing w:after="120"/>
    </w:pPr>
    <w:rPr>
      <w:sz w:val="16"/>
      <w:szCs w:val="16"/>
    </w:rPr>
  </w:style>
  <w:style w:type="paragraph" w:styleId="Primorientrocorpodeltesto">
    <w:name w:val="Body Text First Indent"/>
    <w:basedOn w:val="Corpodeltesto"/>
    <w:semiHidden/>
    <w:pPr>
      <w:ind w:firstLine="210"/>
    </w:pPr>
  </w:style>
  <w:style w:type="paragraph" w:styleId="Rientrocorpodeltesto">
    <w:name w:val="Body Text Indent"/>
    <w:basedOn w:val="Normale"/>
    <w:semiHidden/>
    <w:pPr>
      <w:spacing w:after="120"/>
      <w:ind w:left="283"/>
    </w:pPr>
  </w:style>
  <w:style w:type="paragraph" w:styleId="Primorientrocorpodeltesto2">
    <w:name w:val="Body Text First Indent 2"/>
    <w:basedOn w:val="Rientrocorpodeltesto"/>
    <w:semiHidden/>
    <w:pPr>
      <w:ind w:firstLine="210"/>
    </w:pPr>
  </w:style>
  <w:style w:type="paragraph" w:styleId="Rientrocorpodeltesto2">
    <w:name w:val="Body Text Indent 2"/>
    <w:basedOn w:val="Normale"/>
    <w:semiHidden/>
    <w:pPr>
      <w:spacing w:after="120" w:line="480" w:lineRule="auto"/>
      <w:ind w:left="283"/>
    </w:pPr>
  </w:style>
  <w:style w:type="paragraph" w:styleId="Rientrocorpodeltesto3">
    <w:name w:val="Body Text Indent 3"/>
    <w:basedOn w:val="Normale"/>
    <w:semiHidden/>
    <w:pPr>
      <w:spacing w:after="120"/>
      <w:ind w:left="283"/>
    </w:pPr>
    <w:rPr>
      <w:sz w:val="16"/>
      <w:szCs w:val="16"/>
    </w:rPr>
  </w:style>
  <w:style w:type="paragraph" w:styleId="Formuladichiusura">
    <w:name w:val="Closing"/>
    <w:basedOn w:val="Normale"/>
    <w:semiHidden/>
    <w:pPr>
      <w:ind w:left="4252"/>
    </w:pPr>
  </w:style>
  <w:style w:type="paragraph" w:styleId="Data">
    <w:name w:val="Date"/>
    <w:basedOn w:val="Normale"/>
    <w:next w:val="Normale"/>
    <w:semiHidden/>
  </w:style>
  <w:style w:type="paragraph" w:styleId="Firmadipostaelettronica">
    <w:name w:val="E-mail Signature"/>
    <w:basedOn w:val="Normale"/>
    <w:semiHidden/>
  </w:style>
  <w:style w:type="character" w:styleId="Enfasicorsivo">
    <w:name w:val="Emphasis"/>
    <w:qFormat/>
    <w:rPr>
      <w:i/>
      <w:iCs/>
    </w:rPr>
  </w:style>
  <w:style w:type="paragraph" w:styleId="Indirizzodestinatario">
    <w:name w:val="envelope address"/>
    <w:basedOn w:val="Normale"/>
    <w:semiHidden/>
    <w:pPr>
      <w:framePr w:w="7920" w:h="1980" w:hRule="exact" w:hSpace="180" w:wrap="auto" w:hAnchor="page" w:xAlign="center" w:yAlign="bottom"/>
      <w:ind w:left="2880"/>
    </w:pPr>
    <w:rPr>
      <w:rFonts w:ascii="Arial" w:hAnsi="Arial" w:cs="Arial"/>
      <w:sz w:val="24"/>
    </w:rPr>
  </w:style>
  <w:style w:type="paragraph" w:styleId="Indirizzomittente">
    <w:name w:val="envelope return"/>
    <w:basedOn w:val="Normale"/>
    <w:semiHidden/>
    <w:rPr>
      <w:rFonts w:ascii="Arial" w:hAnsi="Arial" w:cs="Arial"/>
      <w:szCs w:val="20"/>
    </w:rPr>
  </w:style>
  <w:style w:type="character" w:styleId="Collegamentovisitato">
    <w:name w:val="FollowedHyperlink"/>
    <w:semiHidden/>
    <w:rPr>
      <w:color w:val="800080"/>
      <w:u w:val="single"/>
    </w:rPr>
  </w:style>
  <w:style w:type="character" w:styleId="AcronimoHTML">
    <w:name w:val="HTML Acronym"/>
    <w:basedOn w:val="Caratterepredefinitoparagrafo"/>
    <w:semiHidden/>
  </w:style>
  <w:style w:type="paragraph" w:styleId="IndirizzoHTML">
    <w:name w:val="HTML Address"/>
    <w:basedOn w:val="Normale"/>
    <w:semiHidden/>
    <w:rPr>
      <w:i/>
      <w:iCs/>
    </w:rPr>
  </w:style>
  <w:style w:type="character" w:styleId="CitazioneHTML">
    <w:name w:val="HTML Cite"/>
    <w:semiHidden/>
    <w:rPr>
      <w:i/>
      <w:iCs/>
    </w:rPr>
  </w:style>
  <w:style w:type="character" w:styleId="CodiceHTML">
    <w:name w:val="HTML Code"/>
    <w:semiHidden/>
    <w:rPr>
      <w:rFonts w:ascii="Courier New" w:hAnsi="Courier New" w:cs="Courier New"/>
      <w:sz w:val="20"/>
      <w:szCs w:val="20"/>
    </w:rPr>
  </w:style>
  <w:style w:type="character" w:styleId="DefinizioneHTML">
    <w:name w:val="HTML Definition"/>
    <w:semiHidden/>
    <w:rPr>
      <w:i/>
      <w:iCs/>
    </w:rPr>
  </w:style>
  <w:style w:type="character" w:styleId="TastieraHTML">
    <w:name w:val="HTML Keyboard"/>
    <w:semiHidden/>
    <w:rPr>
      <w:rFonts w:ascii="Courier New" w:hAnsi="Courier New" w:cs="Courier New"/>
      <w:sz w:val="20"/>
      <w:szCs w:val="20"/>
    </w:rPr>
  </w:style>
  <w:style w:type="paragraph" w:styleId="PreformattatoHTML">
    <w:name w:val="HTML Preformatted"/>
    <w:basedOn w:val="Normale"/>
    <w:semiHidden/>
    <w:rPr>
      <w:rFonts w:ascii="Courier New" w:hAnsi="Courier New" w:cs="Courier New"/>
      <w:szCs w:val="20"/>
    </w:rPr>
  </w:style>
  <w:style w:type="character" w:styleId="EsempioHTML">
    <w:name w:val="HTML Sample"/>
    <w:semiHidden/>
    <w:rPr>
      <w:rFonts w:ascii="Courier New" w:hAnsi="Courier New" w:cs="Courier New"/>
    </w:rPr>
  </w:style>
  <w:style w:type="character" w:styleId="MacchinadascrivereHTML">
    <w:name w:val="HTML Typewriter"/>
    <w:semiHidden/>
    <w:rPr>
      <w:rFonts w:ascii="Courier New" w:hAnsi="Courier New" w:cs="Courier New"/>
      <w:sz w:val="20"/>
      <w:szCs w:val="20"/>
    </w:rPr>
  </w:style>
  <w:style w:type="character" w:styleId="VariabileHTML">
    <w:name w:val="HTML Variable"/>
    <w:semiHidden/>
    <w:rPr>
      <w:i/>
      <w:iCs/>
    </w:rPr>
  </w:style>
  <w:style w:type="character" w:styleId="Collegamentoipertestuale">
    <w:name w:val="Hyperlink"/>
    <w:semiHidden/>
    <w:rPr>
      <w:color w:val="0000FF"/>
      <w:u w:val="single"/>
    </w:rPr>
  </w:style>
  <w:style w:type="character" w:styleId="Numeroriga">
    <w:name w:val="line number"/>
    <w:basedOn w:val="Caratterepredefinitoparagrafo"/>
    <w:semiHidden/>
  </w:style>
  <w:style w:type="paragraph" w:styleId="Elenco">
    <w:name w:val="List"/>
    <w:basedOn w:val="Normale"/>
    <w:semiHidden/>
    <w:pPr>
      <w:ind w:left="283" w:hanging="283"/>
    </w:pPr>
  </w:style>
  <w:style w:type="paragraph" w:styleId="Elenco2">
    <w:name w:val="List 2"/>
    <w:basedOn w:val="Normale"/>
    <w:semiHidden/>
    <w:pPr>
      <w:ind w:left="566" w:hanging="283"/>
    </w:pPr>
  </w:style>
  <w:style w:type="paragraph" w:styleId="Elenco3">
    <w:name w:val="List 3"/>
    <w:basedOn w:val="Normale"/>
    <w:semiHidden/>
    <w:pPr>
      <w:ind w:left="849" w:hanging="283"/>
    </w:pPr>
  </w:style>
  <w:style w:type="paragraph" w:styleId="Elenco4">
    <w:name w:val="List 4"/>
    <w:basedOn w:val="Normale"/>
    <w:semiHidden/>
    <w:pPr>
      <w:ind w:left="1132" w:hanging="283"/>
    </w:pPr>
  </w:style>
  <w:style w:type="paragraph" w:styleId="Elenco5">
    <w:name w:val="List 5"/>
    <w:basedOn w:val="Normale"/>
    <w:semiHidden/>
    <w:pPr>
      <w:ind w:left="1415" w:hanging="283"/>
    </w:pPr>
  </w:style>
  <w:style w:type="paragraph" w:styleId="Puntoelenco">
    <w:name w:val="List Bullet"/>
    <w:basedOn w:val="Normale"/>
    <w:semiHidden/>
    <w:pPr>
      <w:numPr>
        <w:numId w:val="3"/>
      </w:numPr>
    </w:pPr>
  </w:style>
  <w:style w:type="paragraph" w:styleId="Puntoelenco2">
    <w:name w:val="List Bullet 2"/>
    <w:basedOn w:val="Normale"/>
    <w:semiHidden/>
    <w:pPr>
      <w:numPr>
        <w:numId w:val="4"/>
      </w:numPr>
    </w:pPr>
  </w:style>
  <w:style w:type="paragraph" w:styleId="Puntoelenco3">
    <w:name w:val="List Bullet 3"/>
    <w:basedOn w:val="Normale"/>
    <w:semiHidden/>
    <w:pPr>
      <w:numPr>
        <w:numId w:val="5"/>
      </w:numPr>
    </w:pPr>
  </w:style>
  <w:style w:type="paragraph" w:styleId="Puntoelenco4">
    <w:name w:val="List Bullet 4"/>
    <w:basedOn w:val="Normale"/>
    <w:semiHidden/>
    <w:pPr>
      <w:numPr>
        <w:numId w:val="6"/>
      </w:numPr>
    </w:pPr>
  </w:style>
  <w:style w:type="paragraph" w:styleId="Puntoelenco5">
    <w:name w:val="List Bullet 5"/>
    <w:basedOn w:val="Normale"/>
    <w:semiHidden/>
  </w:style>
  <w:style w:type="paragraph" w:styleId="Elencocontinua">
    <w:name w:val="List Continue"/>
    <w:basedOn w:val="Normale"/>
    <w:semiHidden/>
    <w:pPr>
      <w:spacing w:after="120"/>
      <w:ind w:left="283"/>
    </w:pPr>
  </w:style>
  <w:style w:type="paragraph" w:styleId="Elencocontinua2">
    <w:name w:val="List Continue 2"/>
    <w:basedOn w:val="Normale"/>
    <w:semiHidden/>
    <w:pPr>
      <w:spacing w:after="120"/>
      <w:ind w:left="566"/>
    </w:pPr>
  </w:style>
  <w:style w:type="paragraph" w:styleId="Elencocontinua3">
    <w:name w:val="List Continue 3"/>
    <w:basedOn w:val="Normale"/>
    <w:semiHidden/>
    <w:pPr>
      <w:spacing w:after="120"/>
      <w:ind w:left="849"/>
    </w:pPr>
  </w:style>
  <w:style w:type="paragraph" w:styleId="Elencocontinua4">
    <w:name w:val="List Continue 4"/>
    <w:basedOn w:val="Normale"/>
    <w:semiHidden/>
    <w:pPr>
      <w:spacing w:after="120"/>
      <w:ind w:left="1132"/>
    </w:pPr>
  </w:style>
  <w:style w:type="paragraph" w:styleId="Elencocontinua5">
    <w:name w:val="List Continue 5"/>
    <w:basedOn w:val="Normale"/>
    <w:semiHidden/>
    <w:pPr>
      <w:spacing w:after="120"/>
      <w:ind w:left="1415"/>
    </w:pPr>
  </w:style>
  <w:style w:type="paragraph" w:styleId="Numeroelenco">
    <w:name w:val="List Number"/>
    <w:basedOn w:val="Normale"/>
    <w:semiHidden/>
    <w:pPr>
      <w:numPr>
        <w:numId w:val="7"/>
      </w:numPr>
    </w:pPr>
  </w:style>
  <w:style w:type="paragraph" w:styleId="Numeroelenco2">
    <w:name w:val="List Number 2"/>
    <w:basedOn w:val="Normale"/>
    <w:semiHidden/>
    <w:pPr>
      <w:numPr>
        <w:numId w:val="8"/>
      </w:numPr>
    </w:pPr>
  </w:style>
  <w:style w:type="paragraph" w:styleId="Numeroelenco3">
    <w:name w:val="List Number 3"/>
    <w:basedOn w:val="Normale"/>
    <w:semiHidden/>
    <w:pPr>
      <w:numPr>
        <w:numId w:val="9"/>
      </w:numPr>
    </w:pPr>
  </w:style>
  <w:style w:type="paragraph" w:styleId="Numeroelenco4">
    <w:name w:val="List Number 4"/>
    <w:basedOn w:val="Normale"/>
    <w:semiHidden/>
    <w:pPr>
      <w:numPr>
        <w:numId w:val="10"/>
      </w:numPr>
    </w:pPr>
  </w:style>
  <w:style w:type="paragraph" w:styleId="Numeroelenco5">
    <w:name w:val="List Number 5"/>
    <w:basedOn w:val="Normale"/>
    <w:semiHidden/>
    <w:pPr>
      <w:numPr>
        <w:numId w:val="11"/>
      </w:numPr>
    </w:pPr>
  </w:style>
  <w:style w:type="paragraph" w:styleId="Intestazionemessaggio">
    <w:name w:val="Message Header"/>
    <w:basedOn w:val="Normale"/>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eWeb">
    <w:name w:val="Normal (Web)"/>
    <w:basedOn w:val="Normale"/>
    <w:uiPriority w:val="99"/>
    <w:semiHidden/>
    <w:rPr>
      <w:sz w:val="24"/>
    </w:rPr>
  </w:style>
  <w:style w:type="paragraph" w:styleId="Rientronormale">
    <w:name w:val="Normal Indent"/>
    <w:basedOn w:val="Normale"/>
    <w:semiHidden/>
    <w:pPr>
      <w:ind w:left="720"/>
    </w:pPr>
  </w:style>
  <w:style w:type="paragraph" w:styleId="Intestazionenota">
    <w:name w:val="Note Heading"/>
    <w:basedOn w:val="Normale"/>
    <w:next w:val="Normale"/>
    <w:semiHidden/>
  </w:style>
  <w:style w:type="paragraph" w:styleId="Testonormale">
    <w:name w:val="Plain Text"/>
    <w:basedOn w:val="Normale"/>
    <w:semiHidden/>
    <w:rPr>
      <w:rFonts w:ascii="Courier New" w:hAnsi="Courier New" w:cs="Courier New"/>
      <w:szCs w:val="20"/>
    </w:rPr>
  </w:style>
  <w:style w:type="paragraph" w:styleId="Formuladiapertura">
    <w:name w:val="Salutation"/>
    <w:basedOn w:val="Normale"/>
    <w:next w:val="Normale"/>
    <w:semiHidden/>
  </w:style>
  <w:style w:type="paragraph" w:styleId="Firma">
    <w:name w:val="Signature"/>
    <w:basedOn w:val="Normale"/>
    <w:semiHidden/>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rPr>
  </w:style>
  <w:style w:type="table" w:styleId="Tabellaeffetti3D1">
    <w:name w:val="Table 3D effects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griglia1">
    <w:name w:val="Table Grid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agriglia2">
    <w:name w:val="Table Grid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3">
    <w:name w:val="Table Grid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4">
    <w:name w:val="Table Grid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agriglia5">
    <w:name w:val="Table Grid 5"/>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6">
    <w:name w:val="Table Grid 6"/>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7">
    <w:name w:val="Table Grid 7"/>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8">
    <w:name w:val="Table Grid 8"/>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elenco1">
    <w:name w:val="Table List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2">
    <w:name w:val="Table List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3">
    <w:name w:val="Table List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aelenco4">
    <w:name w:val="Table List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5">
    <w:name w:val="Table List 5"/>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aelenco6">
    <w:name w:val="Table List 6"/>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aelenco7">
    <w:name w:val="Table List 7"/>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aelenco8">
    <w:name w:val="Table List 8"/>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Web1">
    <w:name w:val="Table Web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qFormat/>
    <w:pPr>
      <w:spacing w:before="240" w:after="60"/>
      <w:jc w:val="center"/>
      <w:outlineLvl w:val="0"/>
    </w:pPr>
    <w:rPr>
      <w:rFonts w:ascii="Arial" w:hAnsi="Arial" w:cs="Arial"/>
      <w:b/>
      <w:kern w:val="28"/>
      <w:sz w:val="32"/>
      <w:szCs w:val="32"/>
    </w:rPr>
  </w:style>
  <w:style w:type="character" w:customStyle="1" w:styleId="Titolo1Carattere">
    <w:name w:val="Titolo 1 Carattere"/>
    <w:aliases w:val="WEDC Heading 1 Carattere"/>
    <w:link w:val="Titolo1"/>
    <w:uiPriority w:val="9"/>
    <w:rPr>
      <w:rFonts w:ascii="Arial" w:hAnsi="Arial" w:cs="Arial"/>
      <w:b/>
      <w:color w:val="000000"/>
      <w:sz w:val="23"/>
      <w:szCs w:val="23"/>
      <w:lang w:val="en-GB" w:eastAsia="en-US" w:bidi="ar-SA"/>
    </w:rPr>
  </w:style>
  <w:style w:type="character" w:customStyle="1" w:styleId="Titolo2Carattere">
    <w:name w:val="Titolo 2 Carattere"/>
    <w:aliases w:val="WEDC - Heading 2 Carattere"/>
    <w:link w:val="Titolo2"/>
    <w:rPr>
      <w:rFonts w:ascii="Arial" w:hAnsi="Arial" w:cs="Arial"/>
      <w:b/>
      <w:color w:val="000000"/>
      <w:sz w:val="23"/>
      <w:szCs w:val="23"/>
      <w:lang w:val="en-GB" w:eastAsia="en-US" w:bidi="ar-SA"/>
    </w:rPr>
  </w:style>
  <w:style w:type="character" w:customStyle="1" w:styleId="Titolo3Carattere">
    <w:name w:val="Titolo 3 Carattere"/>
    <w:aliases w:val="WEDC - Heading 3 Carattere"/>
    <w:link w:val="Titolo3"/>
    <w:rPr>
      <w:rFonts w:ascii="Arial" w:hAnsi="Arial" w:cs="Arial"/>
      <w:b/>
      <w:i/>
      <w:iCs/>
      <w:color w:val="000000"/>
      <w:sz w:val="23"/>
      <w:szCs w:val="23"/>
      <w:lang w:val="en-GB" w:eastAsia="en-US" w:bidi="ar-SA"/>
    </w:rPr>
  </w:style>
  <w:style w:type="character" w:customStyle="1" w:styleId="Titolo4Carattere">
    <w:name w:val="Titolo 4 Carattere"/>
    <w:aliases w:val="WEDC - Heading 4 Carattere"/>
    <w:link w:val="Titolo4"/>
    <w:rPr>
      <w:rFonts w:ascii="Arial" w:hAnsi="Arial" w:cs="Arial"/>
      <w:b/>
      <w:i/>
      <w:iCs/>
      <w:color w:val="000000"/>
      <w:sz w:val="23"/>
      <w:szCs w:val="28"/>
      <w:lang w:val="en-GB" w:eastAsia="en-US" w:bidi="ar-SA"/>
    </w:rPr>
  </w:style>
  <w:style w:type="paragraph" w:customStyle="1" w:styleId="WEDC-36thWEDCConference">
    <w:name w:val="WEDC - 36th WEDC Conference"/>
    <w:pPr>
      <w:spacing w:before="300"/>
      <w:jc w:val="center"/>
    </w:pPr>
    <w:rPr>
      <w:b/>
      <w:bCs/>
      <w:color w:val="000000"/>
      <w:sz w:val="24"/>
      <w:szCs w:val="24"/>
    </w:rPr>
  </w:style>
  <w:style w:type="paragraph" w:customStyle="1" w:styleId="WEDC-Boxtitle">
    <w:name w:val="WEDC - Box title"/>
    <w:link w:val="WEDC-BoxtitleCharChar"/>
    <w:pPr>
      <w:jc w:val="center"/>
    </w:pPr>
    <w:rPr>
      <w:rFonts w:ascii="Arial" w:hAnsi="Arial" w:cs="Arial"/>
      <w:b/>
      <w:sz w:val="22"/>
      <w:lang w:val="en-GB"/>
    </w:rPr>
  </w:style>
  <w:style w:type="character" w:customStyle="1" w:styleId="WEDC-BoxtitleCharChar">
    <w:name w:val="WEDC - Box title Char Char"/>
    <w:link w:val="WEDC-Boxtitle"/>
    <w:rPr>
      <w:rFonts w:ascii="Arial" w:hAnsi="Arial" w:cs="Arial"/>
      <w:b/>
      <w:sz w:val="22"/>
      <w:lang w:val="en-GB" w:eastAsia="en-US" w:bidi="ar-SA"/>
    </w:rPr>
  </w:style>
  <w:style w:type="paragraph" w:customStyle="1" w:styleId="WEDC-Bodytextwithbulletpoint2">
    <w:name w:val="WEDC - Body text with bullet point 2"/>
    <w:next w:val="Normale"/>
    <w:pPr>
      <w:numPr>
        <w:numId w:val="15"/>
      </w:numPr>
    </w:pPr>
    <w:rPr>
      <w:bCs/>
      <w:color w:val="000000"/>
      <w:spacing w:val="-2"/>
      <w:lang w:val="en-GB"/>
    </w:rPr>
  </w:style>
  <w:style w:type="character" w:customStyle="1" w:styleId="WEDC-BodytextindentedCharChar">
    <w:name w:val="WEDC - Body text indented Char Char"/>
    <w:link w:val="WEDC-Bodytextindented"/>
    <w:rsid w:val="008728AE"/>
    <w:rPr>
      <w:bCs/>
      <w:color w:val="000000"/>
      <w:spacing w:val="-2"/>
    </w:rPr>
  </w:style>
  <w:style w:type="paragraph" w:customStyle="1" w:styleId="WEDC-Boxtextwithbullets">
    <w:name w:val="WEDC - Box text with bullets"/>
    <w:link w:val="WEDC-BoxtextwithbulletsCharChar"/>
    <w:pPr>
      <w:numPr>
        <w:numId w:val="16"/>
      </w:numPr>
      <w:tabs>
        <w:tab w:val="left" w:pos="170"/>
        <w:tab w:val="left" w:pos="510"/>
      </w:tabs>
    </w:pPr>
    <w:rPr>
      <w:rFonts w:ascii="Arial" w:hAnsi="Arial" w:cs="Arial"/>
      <w:sz w:val="17"/>
      <w:lang w:val="en-GB"/>
    </w:rPr>
  </w:style>
  <w:style w:type="character" w:customStyle="1" w:styleId="WEDC-BoxtextwithbulletsCharChar">
    <w:name w:val="WEDC - Box text with bullets Char Char"/>
    <w:link w:val="WEDC-Boxtextwithbullets"/>
    <w:rPr>
      <w:rFonts w:ascii="Arial" w:hAnsi="Arial" w:cs="Arial"/>
      <w:sz w:val="17"/>
      <w:lang w:val="en-GB" w:eastAsia="en-US" w:bidi="ar-SA"/>
    </w:rPr>
  </w:style>
  <w:style w:type="character" w:customStyle="1" w:styleId="WEDC-050spaceCharChar">
    <w:name w:val="WEDC - 0.50 space Char Char"/>
    <w:link w:val="WEDC-050space"/>
    <w:rPr>
      <w:sz w:val="18"/>
      <w:szCs w:val="12"/>
      <w:lang w:val="en-US" w:eastAsia="en-US" w:bidi="ar-SA"/>
    </w:rPr>
  </w:style>
  <w:style w:type="paragraph" w:styleId="Testofumetto">
    <w:name w:val="Balloon Text"/>
    <w:basedOn w:val="Normale"/>
    <w:semiHidden/>
    <w:rPr>
      <w:rFonts w:ascii="Tahoma" w:hAnsi="Tahoma" w:cs="Tahoma"/>
      <w:sz w:val="16"/>
      <w:szCs w:val="16"/>
    </w:rPr>
  </w:style>
  <w:style w:type="character" w:styleId="Rimandocommento">
    <w:name w:val="annotation reference"/>
    <w:semiHidden/>
    <w:rPr>
      <w:sz w:val="16"/>
      <w:szCs w:val="16"/>
    </w:rPr>
  </w:style>
  <w:style w:type="paragraph" w:styleId="Testocommento">
    <w:name w:val="annotation text"/>
    <w:basedOn w:val="Normale"/>
    <w:semiHidden/>
    <w:rPr>
      <w:szCs w:val="20"/>
    </w:rPr>
  </w:style>
  <w:style w:type="paragraph" w:styleId="Soggettocommento">
    <w:name w:val="annotation subject"/>
    <w:basedOn w:val="Testocommento"/>
    <w:next w:val="Testocommento"/>
    <w:semiHidden/>
    <w:rPr>
      <w:b/>
    </w:rPr>
  </w:style>
  <w:style w:type="paragraph" w:customStyle="1" w:styleId="WEDC-Source">
    <w:name w:val="WEDC - Source"/>
    <w:pPr>
      <w:spacing w:line="190" w:lineRule="atLeast"/>
      <w:jc w:val="center"/>
    </w:pPr>
    <w:rPr>
      <w:rFonts w:ascii="Arial" w:hAnsi="Arial" w:cs="Arial"/>
      <w:bCs/>
      <w:sz w:val="16"/>
      <w:szCs w:val="16"/>
      <w:lang w:val="en-GB"/>
    </w:rPr>
  </w:style>
  <w:style w:type="paragraph" w:customStyle="1" w:styleId="WEDC-Phototitle">
    <w:name w:val="WEDC - Photo title"/>
    <w:pPr>
      <w:spacing w:line="240" w:lineRule="atLeast"/>
      <w:jc w:val="center"/>
    </w:pPr>
    <w:rPr>
      <w:rFonts w:ascii="Arial" w:hAnsi="Arial" w:cs="Arial"/>
      <w:b/>
      <w:sz w:val="18"/>
      <w:lang w:val="en-GB"/>
    </w:rPr>
  </w:style>
  <w:style w:type="character" w:styleId="Riferimentodelicato">
    <w:name w:val="Subtle Reference"/>
    <w:basedOn w:val="Caratterepredefinitoparagrafo"/>
    <w:uiPriority w:val="31"/>
    <w:qFormat/>
    <w:rsid w:val="0064575D"/>
    <w:rPr>
      <w:smallCaps/>
      <w:color w:val="5A5A5A" w:themeColor="text1" w:themeTint="A5"/>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sid w:val="00CE70D3"/>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Cs/>
      <w:color w:val="000000"/>
      <w:szCs w:val="24"/>
    </w:rPr>
  </w:style>
  <w:style w:type="paragraph" w:styleId="Titolo1">
    <w:name w:val="heading 1"/>
    <w:aliases w:val="WEDC Heading 1"/>
    <w:next w:val="WEDC-Bodytext-P1"/>
    <w:link w:val="Titolo1Carattere"/>
    <w:uiPriority w:val="9"/>
    <w:qFormat/>
    <w:pPr>
      <w:tabs>
        <w:tab w:val="left" w:pos="170"/>
        <w:tab w:val="left" w:pos="340"/>
        <w:tab w:val="left" w:pos="510"/>
      </w:tabs>
      <w:spacing w:line="300" w:lineRule="exact"/>
      <w:outlineLvl w:val="0"/>
    </w:pPr>
    <w:rPr>
      <w:rFonts w:ascii="Arial" w:hAnsi="Arial" w:cs="Arial"/>
      <w:b/>
      <w:color w:val="000000"/>
      <w:sz w:val="23"/>
      <w:szCs w:val="23"/>
      <w:lang w:val="en-GB"/>
    </w:rPr>
  </w:style>
  <w:style w:type="paragraph" w:styleId="Titolo2">
    <w:name w:val="heading 2"/>
    <w:aliases w:val="WEDC - Heading 2"/>
    <w:next w:val="WEDC-Bodytext-P1"/>
    <w:link w:val="Titolo2Carattere"/>
    <w:qFormat/>
    <w:pPr>
      <w:tabs>
        <w:tab w:val="left" w:pos="170"/>
        <w:tab w:val="left" w:pos="283"/>
        <w:tab w:val="left" w:pos="454"/>
      </w:tabs>
      <w:spacing w:line="240" w:lineRule="exact"/>
      <w:outlineLvl w:val="1"/>
    </w:pPr>
    <w:rPr>
      <w:rFonts w:ascii="Arial" w:hAnsi="Arial" w:cs="Arial"/>
      <w:b/>
      <w:color w:val="000000"/>
      <w:lang w:val="en-GB"/>
    </w:rPr>
  </w:style>
  <w:style w:type="paragraph" w:styleId="Titolo3">
    <w:name w:val="heading 3"/>
    <w:aliases w:val="WEDC - Heading 3"/>
    <w:next w:val="WEDC-Bodytext-P1"/>
    <w:link w:val="Titolo3Carattere"/>
    <w:qFormat/>
    <w:pPr>
      <w:outlineLvl w:val="2"/>
    </w:pPr>
    <w:rPr>
      <w:b/>
      <w:i/>
      <w:iCs/>
      <w:color w:val="000000"/>
      <w:lang w:val="en-GB"/>
    </w:rPr>
  </w:style>
  <w:style w:type="paragraph" w:styleId="Titolo4">
    <w:name w:val="heading 4"/>
    <w:aliases w:val="WEDC - Heading 4"/>
    <w:next w:val="Normale"/>
    <w:link w:val="Titolo4Carattere"/>
    <w:qFormat/>
    <w:pPr>
      <w:keepNext/>
      <w:outlineLvl w:val="3"/>
    </w:pPr>
    <w:rPr>
      <w:i/>
      <w:iCs/>
      <w:color w:val="000000"/>
      <w:szCs w:val="28"/>
      <w:lang w:val="en-GB"/>
    </w:rPr>
  </w:style>
  <w:style w:type="paragraph" w:styleId="Titolo5">
    <w:name w:val="heading 5"/>
    <w:basedOn w:val="Normale"/>
    <w:next w:val="Normale"/>
    <w:qFormat/>
    <w:pPr>
      <w:spacing w:before="240" w:after="60"/>
      <w:outlineLvl w:val="4"/>
    </w:pPr>
    <w:rPr>
      <w:b/>
      <w:i/>
      <w:iCs/>
      <w:sz w:val="26"/>
      <w:szCs w:val="26"/>
    </w:rPr>
  </w:style>
  <w:style w:type="paragraph" w:styleId="Titolo6">
    <w:name w:val="heading 6"/>
    <w:basedOn w:val="Normale"/>
    <w:next w:val="Normale"/>
    <w:qFormat/>
    <w:pPr>
      <w:spacing w:before="240" w:after="60"/>
      <w:outlineLvl w:val="5"/>
    </w:pPr>
    <w:rPr>
      <w:b/>
      <w:bCs w:val="0"/>
      <w:sz w:val="22"/>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EDC-Bodytext-P1">
    <w:name w:val="WEDC - Body text - P1"/>
    <w:link w:val="WEDC-Bodytext-P1CharChar"/>
    <w:pPr>
      <w:tabs>
        <w:tab w:val="left" w:pos="170"/>
        <w:tab w:val="left" w:pos="283"/>
        <w:tab w:val="left" w:pos="454"/>
      </w:tabs>
      <w:spacing w:line="240" w:lineRule="atLeast"/>
      <w:jc w:val="both"/>
    </w:pPr>
    <w:rPr>
      <w:bCs/>
      <w:color w:val="000000"/>
      <w:spacing w:val="-2"/>
      <w:lang w:val="en-GB"/>
    </w:rPr>
  </w:style>
  <w:style w:type="paragraph" w:styleId="Intestazione">
    <w:name w:val="header"/>
    <w:aliases w:val="WEDC - Header"/>
    <w:pPr>
      <w:tabs>
        <w:tab w:val="center" w:pos="4153"/>
        <w:tab w:val="right" w:pos="8306"/>
      </w:tabs>
      <w:spacing w:before="15" w:after="15"/>
      <w:jc w:val="center"/>
    </w:pPr>
    <w:rPr>
      <w:bCs/>
      <w:caps/>
      <w:color w:val="000000"/>
      <w:sz w:val="18"/>
      <w:szCs w:val="24"/>
      <w:lang w:val="en-GB"/>
    </w:rPr>
  </w:style>
  <w:style w:type="paragraph" w:styleId="Pidipagina">
    <w:name w:val="footer"/>
    <w:basedOn w:val="Normale"/>
    <w:semiHidden/>
    <w:pPr>
      <w:tabs>
        <w:tab w:val="center" w:pos="4153"/>
        <w:tab w:val="right" w:pos="8306"/>
      </w:tabs>
    </w:pPr>
  </w:style>
  <w:style w:type="character" w:styleId="Numeropagina">
    <w:name w:val="page number"/>
    <w:semiHidden/>
    <w:rPr>
      <w:rFonts w:ascii="Times New Roman" w:hAnsi="Times New Roman"/>
      <w:sz w:val="20"/>
    </w:rPr>
  </w:style>
  <w:style w:type="paragraph" w:customStyle="1" w:styleId="WEDC-Bodytextwithbulletpoint">
    <w:name w:val="WEDC - Body text with bullet point"/>
    <w:rsid w:val="008728AE"/>
    <w:pPr>
      <w:numPr>
        <w:numId w:val="1"/>
      </w:numPr>
      <w:tabs>
        <w:tab w:val="left" w:pos="170"/>
        <w:tab w:val="left" w:pos="284"/>
        <w:tab w:val="left" w:pos="340"/>
      </w:tabs>
      <w:spacing w:line="240" w:lineRule="atLeast"/>
    </w:pPr>
    <w:rPr>
      <w:bCs/>
      <w:color w:val="000000"/>
      <w:spacing w:val="-2"/>
      <w:lang w:val="en-GB"/>
    </w:rPr>
  </w:style>
  <w:style w:type="paragraph" w:customStyle="1" w:styleId="WEDC-Titleofconference">
    <w:name w:val="WEDC - Title of conference"/>
    <w:pPr>
      <w:autoSpaceDE w:val="0"/>
      <w:autoSpaceDN w:val="0"/>
      <w:adjustRightInd w:val="0"/>
      <w:jc w:val="center"/>
    </w:pPr>
    <w:rPr>
      <w:caps/>
      <w:color w:val="000000"/>
      <w:sz w:val="24"/>
      <w:szCs w:val="24"/>
    </w:rPr>
  </w:style>
  <w:style w:type="paragraph" w:customStyle="1" w:styleId="WEDC-Titleofpaper">
    <w:name w:val="WEDC - Title of paper"/>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line="360" w:lineRule="exact"/>
      <w:jc w:val="center"/>
    </w:pPr>
    <w:rPr>
      <w:rFonts w:ascii="Arial" w:hAnsi="Arial" w:cs="Arial"/>
      <w:b/>
      <w:bCs/>
      <w:sz w:val="30"/>
      <w:szCs w:val="30"/>
      <w:lang w:val="en-GB"/>
    </w:rPr>
  </w:style>
  <w:style w:type="paragraph" w:customStyle="1" w:styleId="WEDC-Abstract">
    <w:name w:val="WEDC - Abstract"/>
    <w:pPr>
      <w:tabs>
        <w:tab w:val="left" w:pos="170"/>
        <w:tab w:val="left" w:pos="283"/>
        <w:tab w:val="left" w:pos="45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240" w:lineRule="exact"/>
      <w:jc w:val="both"/>
    </w:pPr>
    <w:rPr>
      <w:i/>
      <w:iCs/>
      <w:color w:val="000000"/>
      <w:lang w:val="en-GB"/>
    </w:rPr>
  </w:style>
  <w:style w:type="paragraph" w:customStyle="1" w:styleId="WEDC-Referencesheading">
    <w:name w:val="WEDC - References heading"/>
    <w:pPr>
      <w:pBdr>
        <w:top w:val="single" w:sz="2" w:space="6" w:color="auto"/>
        <w:between w:val="single" w:sz="2" w:space="6" w:color="auto"/>
      </w:pBdr>
      <w:tabs>
        <w:tab w:val="left" w:pos="1417"/>
        <w:tab w:val="left" w:pos="1984"/>
      </w:tabs>
      <w:ind w:left="284" w:hanging="284"/>
    </w:pPr>
    <w:rPr>
      <w:rFonts w:ascii="Arial" w:hAnsi="Arial" w:cs="Arial"/>
      <w:b/>
      <w:color w:val="000000"/>
      <w:lang w:val="en-GB"/>
    </w:rPr>
  </w:style>
  <w:style w:type="paragraph" w:customStyle="1" w:styleId="WEDC-OFFICEUSE">
    <w:name w:val="WEDC - OFFICE USE"/>
    <w:rPr>
      <w:b/>
      <w:bCs/>
      <w:caps/>
      <w:color w:val="000000"/>
      <w:sz w:val="18"/>
      <w:szCs w:val="24"/>
      <w:lang w:val="en-GB"/>
    </w:rPr>
  </w:style>
  <w:style w:type="paragraph" w:customStyle="1" w:styleId="WEDC-Authorsandcountry">
    <w:name w:val="WEDC - Author/s and country"/>
    <w:pPr>
      <w:spacing w:before="15" w:after="15" w:line="240" w:lineRule="atLeast"/>
      <w:jc w:val="center"/>
    </w:pPr>
    <w:rPr>
      <w:bCs/>
      <w:i/>
      <w:color w:val="000000"/>
      <w:sz w:val="24"/>
      <w:szCs w:val="24"/>
      <w:lang w:val="en-GB"/>
    </w:rPr>
  </w:style>
  <w:style w:type="paragraph" w:styleId="Bibliografia">
    <w:name w:val="Bibliography"/>
    <w:basedOn w:val="Normale"/>
    <w:next w:val="Normale"/>
    <w:uiPriority w:val="37"/>
    <w:unhideWhenUsed/>
    <w:rsid w:val="00A44BE7"/>
  </w:style>
  <w:style w:type="paragraph" w:customStyle="1" w:styleId="WEDC-050space">
    <w:name w:val="WEDC - 0.50 space"/>
    <w:link w:val="WEDC-050spaceCharChar"/>
    <w:pPr>
      <w:autoSpaceDE w:val="0"/>
      <w:autoSpaceDN w:val="0"/>
      <w:adjustRightInd w:val="0"/>
      <w:spacing w:line="120" w:lineRule="exact"/>
      <w:jc w:val="both"/>
    </w:pPr>
    <w:rPr>
      <w:sz w:val="18"/>
      <w:szCs w:val="12"/>
    </w:rPr>
  </w:style>
  <w:style w:type="paragraph" w:customStyle="1" w:styleId="WEDC-Bodytext-P2">
    <w:name w:val="WEDC - Body text - P2"/>
    <w:pPr>
      <w:tabs>
        <w:tab w:val="left" w:pos="170"/>
        <w:tab w:val="left" w:pos="283"/>
        <w:tab w:val="left" w:pos="45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240" w:lineRule="atLeast"/>
      <w:ind w:firstLine="170"/>
      <w:jc w:val="both"/>
    </w:pPr>
    <w:rPr>
      <w:color w:val="000000"/>
      <w:spacing w:val="-2"/>
      <w:lang w:val="en-GB"/>
    </w:rPr>
  </w:style>
  <w:style w:type="paragraph" w:customStyle="1" w:styleId="WEDC-References">
    <w:name w:val="WEDC - References"/>
    <w:pPr>
      <w:tabs>
        <w:tab w:val="left" w:pos="170"/>
        <w:tab w:val="left" w:pos="283"/>
        <w:tab w:val="left" w:pos="45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s>
      <w:autoSpaceDE w:val="0"/>
      <w:autoSpaceDN w:val="0"/>
      <w:adjustRightInd w:val="0"/>
      <w:spacing w:line="240" w:lineRule="atLeast"/>
      <w:ind w:left="180" w:hanging="180"/>
    </w:pPr>
    <w:rPr>
      <w:lang w:val="en-GB"/>
    </w:rPr>
  </w:style>
  <w:style w:type="paragraph" w:customStyle="1" w:styleId="WEDC-Image">
    <w:name w:val="WEDC - Image"/>
    <w:pPr>
      <w:spacing w:line="240" w:lineRule="atLeast"/>
      <w:jc w:val="center"/>
    </w:pPr>
    <w:rPr>
      <w:rFonts w:ascii="Arial" w:hAnsi="Arial"/>
      <w:bCs/>
      <w:caps/>
      <w:color w:val="000000"/>
      <w:sz w:val="18"/>
      <w:szCs w:val="24"/>
      <w:lang w:val="en-GB"/>
    </w:rPr>
  </w:style>
  <w:style w:type="character" w:customStyle="1" w:styleId="WEDC-Bodytext-P1CharChar">
    <w:name w:val="WEDC - Body text - P1 Char Char"/>
    <w:link w:val="WEDC-Bodytext-P1"/>
    <w:rPr>
      <w:bCs/>
      <w:color w:val="000000"/>
      <w:spacing w:val="-2"/>
      <w:lang w:val="en-GB" w:eastAsia="en-US" w:bidi="ar-SA"/>
    </w:rPr>
  </w:style>
  <w:style w:type="paragraph" w:customStyle="1" w:styleId="WEDC-Bodytextindented">
    <w:name w:val="WEDC - Body text indented"/>
    <w:link w:val="WEDC-BodytextindentedCharChar"/>
    <w:rsid w:val="008728AE"/>
    <w:pPr>
      <w:numPr>
        <w:numId w:val="2"/>
      </w:numPr>
      <w:tabs>
        <w:tab w:val="clear" w:pos="360"/>
        <w:tab w:val="left" w:pos="170"/>
        <w:tab w:val="left" w:pos="284"/>
        <w:tab w:val="left" w:pos="340"/>
        <w:tab w:val="left" w:pos="510"/>
        <w:tab w:val="left" w:pos="680"/>
      </w:tabs>
    </w:pPr>
    <w:rPr>
      <w:bCs/>
      <w:color w:val="000000"/>
      <w:spacing w:val="-2"/>
      <w:lang w:val="en-GB"/>
    </w:rPr>
  </w:style>
  <w:style w:type="paragraph" w:customStyle="1" w:styleId="WEDC-Tablecellheading">
    <w:name w:val="WEDC - Table cell heading"/>
    <w:rPr>
      <w:rFonts w:ascii="Arial" w:hAnsi="Arial"/>
      <w:b/>
      <w:sz w:val="16"/>
      <w:lang w:val="en-GB"/>
    </w:rPr>
  </w:style>
  <w:style w:type="paragraph" w:customStyle="1" w:styleId="WEDC-Tabletext">
    <w:name w:val="WEDC - Table text"/>
    <w:pPr>
      <w:tabs>
        <w:tab w:val="left" w:pos="170"/>
        <w:tab w:val="left" w:pos="340"/>
        <w:tab w:val="left" w:pos="510"/>
        <w:tab w:val="left" w:pos="680"/>
      </w:tabs>
    </w:pPr>
    <w:rPr>
      <w:rFonts w:ascii="Arial" w:hAnsi="Arial" w:cs="Arial"/>
      <w:bCs/>
      <w:sz w:val="16"/>
      <w:szCs w:val="16"/>
      <w:lang w:val="en-GB"/>
    </w:rPr>
  </w:style>
  <w:style w:type="paragraph" w:customStyle="1" w:styleId="WEDC-Tabletitle">
    <w:name w:val="WEDC - Table title"/>
    <w:pPr>
      <w:keepNext/>
    </w:pPr>
    <w:rPr>
      <w:rFonts w:ascii="Arial" w:hAnsi="Arial" w:cs="Arial"/>
      <w:b/>
      <w:sz w:val="18"/>
      <w:lang w:val="en-GB"/>
    </w:rPr>
  </w:style>
  <w:style w:type="paragraph" w:customStyle="1" w:styleId="WEDC-Figuretitle">
    <w:name w:val="WEDC - Figure title"/>
    <w:pPr>
      <w:spacing w:line="240" w:lineRule="atLeast"/>
      <w:jc w:val="center"/>
    </w:pPr>
    <w:rPr>
      <w:rFonts w:ascii="Arial" w:hAnsi="Arial" w:cs="Arial"/>
      <w:b/>
      <w:sz w:val="18"/>
      <w:lang w:val="en-GB"/>
    </w:rPr>
  </w:style>
  <w:style w:type="paragraph" w:customStyle="1" w:styleId="WEDC-Boxtext">
    <w:name w:val="WEDC - Box text"/>
    <w:pPr>
      <w:tabs>
        <w:tab w:val="left" w:pos="170"/>
        <w:tab w:val="left" w:pos="340"/>
        <w:tab w:val="left" w:pos="510"/>
      </w:tabs>
      <w:spacing w:line="240" w:lineRule="atLeast"/>
    </w:pPr>
    <w:rPr>
      <w:rFonts w:ascii="Arial" w:hAnsi="Arial" w:cs="Arial"/>
      <w:sz w:val="17"/>
      <w:lang w:val="en-GB"/>
    </w:rPr>
  </w:style>
  <w:style w:type="paragraph" w:styleId="Corpodeltesto">
    <w:name w:val="Body Text"/>
    <w:basedOn w:val="Normale"/>
    <w:semiHidden/>
    <w:pPr>
      <w:spacing w:after="120"/>
    </w:pPr>
  </w:style>
  <w:style w:type="numbering" w:styleId="111111">
    <w:name w:val="Outline List 2"/>
    <w:basedOn w:val="Nessunelenco"/>
    <w:semiHidden/>
    <w:pPr>
      <w:numPr>
        <w:numId w:val="12"/>
      </w:numPr>
    </w:pPr>
  </w:style>
  <w:style w:type="numbering" w:styleId="1ai">
    <w:name w:val="Outline List 1"/>
    <w:basedOn w:val="Nessunelenco"/>
    <w:semiHidden/>
    <w:pPr>
      <w:numPr>
        <w:numId w:val="13"/>
      </w:numPr>
    </w:pPr>
  </w:style>
  <w:style w:type="numbering" w:styleId="ArticoloSezione">
    <w:name w:val="Outline List 3"/>
    <w:basedOn w:val="Nessunelenco"/>
    <w:semiHidden/>
    <w:pPr>
      <w:numPr>
        <w:numId w:val="14"/>
      </w:numPr>
    </w:pPr>
  </w:style>
  <w:style w:type="paragraph" w:styleId="Bloccoditesto">
    <w:name w:val="Block Text"/>
    <w:basedOn w:val="Normale"/>
    <w:semiHidden/>
    <w:pPr>
      <w:spacing w:after="120"/>
      <w:ind w:left="1440" w:right="1440"/>
    </w:pPr>
  </w:style>
  <w:style w:type="paragraph" w:styleId="Corpodeltesto2">
    <w:name w:val="Body Text 2"/>
    <w:basedOn w:val="Normale"/>
    <w:semiHidden/>
    <w:pPr>
      <w:spacing w:after="120" w:line="480" w:lineRule="auto"/>
    </w:pPr>
  </w:style>
  <w:style w:type="paragraph" w:styleId="Corpodeltesto3">
    <w:name w:val="Body Text 3"/>
    <w:basedOn w:val="Normale"/>
    <w:semiHidden/>
    <w:pPr>
      <w:spacing w:after="120"/>
    </w:pPr>
    <w:rPr>
      <w:sz w:val="16"/>
      <w:szCs w:val="16"/>
    </w:rPr>
  </w:style>
  <w:style w:type="paragraph" w:styleId="Primorientrocorpodeltesto">
    <w:name w:val="Body Text First Indent"/>
    <w:basedOn w:val="Corpodeltesto"/>
    <w:semiHidden/>
    <w:pPr>
      <w:ind w:firstLine="210"/>
    </w:pPr>
  </w:style>
  <w:style w:type="paragraph" w:styleId="Rientrocorpodeltesto">
    <w:name w:val="Body Text Indent"/>
    <w:basedOn w:val="Normale"/>
    <w:semiHidden/>
    <w:pPr>
      <w:spacing w:after="120"/>
      <w:ind w:left="283"/>
    </w:pPr>
  </w:style>
  <w:style w:type="paragraph" w:styleId="Primorientrocorpodeltesto2">
    <w:name w:val="Body Text First Indent 2"/>
    <w:basedOn w:val="Rientrocorpodeltesto"/>
    <w:semiHidden/>
    <w:pPr>
      <w:ind w:firstLine="210"/>
    </w:pPr>
  </w:style>
  <w:style w:type="paragraph" w:styleId="Rientrocorpodeltesto2">
    <w:name w:val="Body Text Indent 2"/>
    <w:basedOn w:val="Normale"/>
    <w:semiHidden/>
    <w:pPr>
      <w:spacing w:after="120" w:line="480" w:lineRule="auto"/>
      <w:ind w:left="283"/>
    </w:pPr>
  </w:style>
  <w:style w:type="paragraph" w:styleId="Rientrocorpodeltesto3">
    <w:name w:val="Body Text Indent 3"/>
    <w:basedOn w:val="Normale"/>
    <w:semiHidden/>
    <w:pPr>
      <w:spacing w:after="120"/>
      <w:ind w:left="283"/>
    </w:pPr>
    <w:rPr>
      <w:sz w:val="16"/>
      <w:szCs w:val="16"/>
    </w:rPr>
  </w:style>
  <w:style w:type="paragraph" w:styleId="Formuladichiusura">
    <w:name w:val="Closing"/>
    <w:basedOn w:val="Normale"/>
    <w:semiHidden/>
    <w:pPr>
      <w:ind w:left="4252"/>
    </w:pPr>
  </w:style>
  <w:style w:type="paragraph" w:styleId="Data">
    <w:name w:val="Date"/>
    <w:basedOn w:val="Normale"/>
    <w:next w:val="Normale"/>
    <w:semiHidden/>
  </w:style>
  <w:style w:type="paragraph" w:styleId="Firmadipostaelettronica">
    <w:name w:val="E-mail Signature"/>
    <w:basedOn w:val="Normale"/>
    <w:semiHidden/>
  </w:style>
  <w:style w:type="character" w:styleId="Enfasicorsivo">
    <w:name w:val="Emphasis"/>
    <w:qFormat/>
    <w:rPr>
      <w:i/>
      <w:iCs/>
    </w:rPr>
  </w:style>
  <w:style w:type="paragraph" w:styleId="Indirizzodestinatario">
    <w:name w:val="envelope address"/>
    <w:basedOn w:val="Normale"/>
    <w:semiHidden/>
    <w:pPr>
      <w:framePr w:w="7920" w:h="1980" w:hRule="exact" w:hSpace="180" w:wrap="auto" w:hAnchor="page" w:xAlign="center" w:yAlign="bottom"/>
      <w:ind w:left="2880"/>
    </w:pPr>
    <w:rPr>
      <w:rFonts w:ascii="Arial" w:hAnsi="Arial" w:cs="Arial"/>
      <w:sz w:val="24"/>
    </w:rPr>
  </w:style>
  <w:style w:type="paragraph" w:styleId="Indirizzomittente">
    <w:name w:val="envelope return"/>
    <w:basedOn w:val="Normale"/>
    <w:semiHidden/>
    <w:rPr>
      <w:rFonts w:ascii="Arial" w:hAnsi="Arial" w:cs="Arial"/>
      <w:szCs w:val="20"/>
    </w:rPr>
  </w:style>
  <w:style w:type="character" w:styleId="Collegamentovisitato">
    <w:name w:val="FollowedHyperlink"/>
    <w:semiHidden/>
    <w:rPr>
      <w:color w:val="800080"/>
      <w:u w:val="single"/>
    </w:rPr>
  </w:style>
  <w:style w:type="character" w:styleId="AcronimoHTML">
    <w:name w:val="HTML Acronym"/>
    <w:basedOn w:val="Caratterepredefinitoparagrafo"/>
    <w:semiHidden/>
  </w:style>
  <w:style w:type="paragraph" w:styleId="IndirizzoHTML">
    <w:name w:val="HTML Address"/>
    <w:basedOn w:val="Normale"/>
    <w:semiHidden/>
    <w:rPr>
      <w:i/>
      <w:iCs/>
    </w:rPr>
  </w:style>
  <w:style w:type="character" w:styleId="CitazioneHTML">
    <w:name w:val="HTML Cite"/>
    <w:semiHidden/>
    <w:rPr>
      <w:i/>
      <w:iCs/>
    </w:rPr>
  </w:style>
  <w:style w:type="character" w:styleId="CodiceHTML">
    <w:name w:val="HTML Code"/>
    <w:semiHidden/>
    <w:rPr>
      <w:rFonts w:ascii="Courier New" w:hAnsi="Courier New" w:cs="Courier New"/>
      <w:sz w:val="20"/>
      <w:szCs w:val="20"/>
    </w:rPr>
  </w:style>
  <w:style w:type="character" w:styleId="DefinizioneHTML">
    <w:name w:val="HTML Definition"/>
    <w:semiHidden/>
    <w:rPr>
      <w:i/>
      <w:iCs/>
    </w:rPr>
  </w:style>
  <w:style w:type="character" w:styleId="TastieraHTML">
    <w:name w:val="HTML Keyboard"/>
    <w:semiHidden/>
    <w:rPr>
      <w:rFonts w:ascii="Courier New" w:hAnsi="Courier New" w:cs="Courier New"/>
      <w:sz w:val="20"/>
      <w:szCs w:val="20"/>
    </w:rPr>
  </w:style>
  <w:style w:type="paragraph" w:styleId="PreformattatoHTML">
    <w:name w:val="HTML Preformatted"/>
    <w:basedOn w:val="Normale"/>
    <w:semiHidden/>
    <w:rPr>
      <w:rFonts w:ascii="Courier New" w:hAnsi="Courier New" w:cs="Courier New"/>
      <w:szCs w:val="20"/>
    </w:rPr>
  </w:style>
  <w:style w:type="character" w:styleId="EsempioHTML">
    <w:name w:val="HTML Sample"/>
    <w:semiHidden/>
    <w:rPr>
      <w:rFonts w:ascii="Courier New" w:hAnsi="Courier New" w:cs="Courier New"/>
    </w:rPr>
  </w:style>
  <w:style w:type="character" w:styleId="MacchinadascrivereHTML">
    <w:name w:val="HTML Typewriter"/>
    <w:semiHidden/>
    <w:rPr>
      <w:rFonts w:ascii="Courier New" w:hAnsi="Courier New" w:cs="Courier New"/>
      <w:sz w:val="20"/>
      <w:szCs w:val="20"/>
    </w:rPr>
  </w:style>
  <w:style w:type="character" w:styleId="VariabileHTML">
    <w:name w:val="HTML Variable"/>
    <w:semiHidden/>
    <w:rPr>
      <w:i/>
      <w:iCs/>
    </w:rPr>
  </w:style>
  <w:style w:type="character" w:styleId="Collegamentoipertestuale">
    <w:name w:val="Hyperlink"/>
    <w:semiHidden/>
    <w:rPr>
      <w:color w:val="0000FF"/>
      <w:u w:val="single"/>
    </w:rPr>
  </w:style>
  <w:style w:type="character" w:styleId="Numeroriga">
    <w:name w:val="line number"/>
    <w:basedOn w:val="Caratterepredefinitoparagrafo"/>
    <w:semiHidden/>
  </w:style>
  <w:style w:type="paragraph" w:styleId="Elenco">
    <w:name w:val="List"/>
    <w:basedOn w:val="Normale"/>
    <w:semiHidden/>
    <w:pPr>
      <w:ind w:left="283" w:hanging="283"/>
    </w:pPr>
  </w:style>
  <w:style w:type="paragraph" w:styleId="Elenco2">
    <w:name w:val="List 2"/>
    <w:basedOn w:val="Normale"/>
    <w:semiHidden/>
    <w:pPr>
      <w:ind w:left="566" w:hanging="283"/>
    </w:pPr>
  </w:style>
  <w:style w:type="paragraph" w:styleId="Elenco3">
    <w:name w:val="List 3"/>
    <w:basedOn w:val="Normale"/>
    <w:semiHidden/>
    <w:pPr>
      <w:ind w:left="849" w:hanging="283"/>
    </w:pPr>
  </w:style>
  <w:style w:type="paragraph" w:styleId="Elenco4">
    <w:name w:val="List 4"/>
    <w:basedOn w:val="Normale"/>
    <w:semiHidden/>
    <w:pPr>
      <w:ind w:left="1132" w:hanging="283"/>
    </w:pPr>
  </w:style>
  <w:style w:type="paragraph" w:styleId="Elenco5">
    <w:name w:val="List 5"/>
    <w:basedOn w:val="Normale"/>
    <w:semiHidden/>
    <w:pPr>
      <w:ind w:left="1415" w:hanging="283"/>
    </w:pPr>
  </w:style>
  <w:style w:type="paragraph" w:styleId="Puntoelenco">
    <w:name w:val="List Bullet"/>
    <w:basedOn w:val="Normale"/>
    <w:semiHidden/>
    <w:pPr>
      <w:numPr>
        <w:numId w:val="3"/>
      </w:numPr>
    </w:pPr>
  </w:style>
  <w:style w:type="paragraph" w:styleId="Puntoelenco2">
    <w:name w:val="List Bullet 2"/>
    <w:basedOn w:val="Normale"/>
    <w:semiHidden/>
    <w:pPr>
      <w:numPr>
        <w:numId w:val="4"/>
      </w:numPr>
    </w:pPr>
  </w:style>
  <w:style w:type="paragraph" w:styleId="Puntoelenco3">
    <w:name w:val="List Bullet 3"/>
    <w:basedOn w:val="Normale"/>
    <w:semiHidden/>
    <w:pPr>
      <w:numPr>
        <w:numId w:val="5"/>
      </w:numPr>
    </w:pPr>
  </w:style>
  <w:style w:type="paragraph" w:styleId="Puntoelenco4">
    <w:name w:val="List Bullet 4"/>
    <w:basedOn w:val="Normale"/>
    <w:semiHidden/>
    <w:pPr>
      <w:numPr>
        <w:numId w:val="6"/>
      </w:numPr>
    </w:pPr>
  </w:style>
  <w:style w:type="paragraph" w:styleId="Puntoelenco5">
    <w:name w:val="List Bullet 5"/>
    <w:basedOn w:val="Normale"/>
    <w:semiHidden/>
  </w:style>
  <w:style w:type="paragraph" w:styleId="Elencocontinua">
    <w:name w:val="List Continue"/>
    <w:basedOn w:val="Normale"/>
    <w:semiHidden/>
    <w:pPr>
      <w:spacing w:after="120"/>
      <w:ind w:left="283"/>
    </w:pPr>
  </w:style>
  <w:style w:type="paragraph" w:styleId="Elencocontinua2">
    <w:name w:val="List Continue 2"/>
    <w:basedOn w:val="Normale"/>
    <w:semiHidden/>
    <w:pPr>
      <w:spacing w:after="120"/>
      <w:ind w:left="566"/>
    </w:pPr>
  </w:style>
  <w:style w:type="paragraph" w:styleId="Elencocontinua3">
    <w:name w:val="List Continue 3"/>
    <w:basedOn w:val="Normale"/>
    <w:semiHidden/>
    <w:pPr>
      <w:spacing w:after="120"/>
      <w:ind w:left="849"/>
    </w:pPr>
  </w:style>
  <w:style w:type="paragraph" w:styleId="Elencocontinua4">
    <w:name w:val="List Continue 4"/>
    <w:basedOn w:val="Normale"/>
    <w:semiHidden/>
    <w:pPr>
      <w:spacing w:after="120"/>
      <w:ind w:left="1132"/>
    </w:pPr>
  </w:style>
  <w:style w:type="paragraph" w:styleId="Elencocontinua5">
    <w:name w:val="List Continue 5"/>
    <w:basedOn w:val="Normale"/>
    <w:semiHidden/>
    <w:pPr>
      <w:spacing w:after="120"/>
      <w:ind w:left="1415"/>
    </w:pPr>
  </w:style>
  <w:style w:type="paragraph" w:styleId="Numeroelenco">
    <w:name w:val="List Number"/>
    <w:basedOn w:val="Normale"/>
    <w:semiHidden/>
    <w:pPr>
      <w:numPr>
        <w:numId w:val="7"/>
      </w:numPr>
    </w:pPr>
  </w:style>
  <w:style w:type="paragraph" w:styleId="Numeroelenco2">
    <w:name w:val="List Number 2"/>
    <w:basedOn w:val="Normale"/>
    <w:semiHidden/>
    <w:pPr>
      <w:numPr>
        <w:numId w:val="8"/>
      </w:numPr>
    </w:pPr>
  </w:style>
  <w:style w:type="paragraph" w:styleId="Numeroelenco3">
    <w:name w:val="List Number 3"/>
    <w:basedOn w:val="Normale"/>
    <w:semiHidden/>
    <w:pPr>
      <w:numPr>
        <w:numId w:val="9"/>
      </w:numPr>
    </w:pPr>
  </w:style>
  <w:style w:type="paragraph" w:styleId="Numeroelenco4">
    <w:name w:val="List Number 4"/>
    <w:basedOn w:val="Normale"/>
    <w:semiHidden/>
    <w:pPr>
      <w:numPr>
        <w:numId w:val="10"/>
      </w:numPr>
    </w:pPr>
  </w:style>
  <w:style w:type="paragraph" w:styleId="Numeroelenco5">
    <w:name w:val="List Number 5"/>
    <w:basedOn w:val="Normale"/>
    <w:semiHidden/>
    <w:pPr>
      <w:numPr>
        <w:numId w:val="11"/>
      </w:numPr>
    </w:pPr>
  </w:style>
  <w:style w:type="paragraph" w:styleId="Intestazionemessaggio">
    <w:name w:val="Message Header"/>
    <w:basedOn w:val="Normale"/>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eWeb">
    <w:name w:val="Normal (Web)"/>
    <w:basedOn w:val="Normale"/>
    <w:uiPriority w:val="99"/>
    <w:semiHidden/>
    <w:rPr>
      <w:sz w:val="24"/>
    </w:rPr>
  </w:style>
  <w:style w:type="paragraph" w:styleId="Rientronormale">
    <w:name w:val="Normal Indent"/>
    <w:basedOn w:val="Normale"/>
    <w:semiHidden/>
    <w:pPr>
      <w:ind w:left="720"/>
    </w:pPr>
  </w:style>
  <w:style w:type="paragraph" w:styleId="Intestazionenota">
    <w:name w:val="Note Heading"/>
    <w:basedOn w:val="Normale"/>
    <w:next w:val="Normale"/>
    <w:semiHidden/>
  </w:style>
  <w:style w:type="paragraph" w:styleId="Testonormale">
    <w:name w:val="Plain Text"/>
    <w:basedOn w:val="Normale"/>
    <w:semiHidden/>
    <w:rPr>
      <w:rFonts w:ascii="Courier New" w:hAnsi="Courier New" w:cs="Courier New"/>
      <w:szCs w:val="20"/>
    </w:rPr>
  </w:style>
  <w:style w:type="paragraph" w:styleId="Formuladiapertura">
    <w:name w:val="Salutation"/>
    <w:basedOn w:val="Normale"/>
    <w:next w:val="Normale"/>
    <w:semiHidden/>
  </w:style>
  <w:style w:type="paragraph" w:styleId="Firma">
    <w:name w:val="Signature"/>
    <w:basedOn w:val="Normale"/>
    <w:semiHidden/>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rPr>
  </w:style>
  <w:style w:type="table" w:styleId="Tabellaeffetti3D1">
    <w:name w:val="Table 3D effects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gliatabella">
    <w:name w:val="Table Grid"/>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griglia1">
    <w:name w:val="Table Grid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agriglia2">
    <w:name w:val="Table Grid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3">
    <w:name w:val="Table Grid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4">
    <w:name w:val="Table Grid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agriglia5">
    <w:name w:val="Table Grid 5"/>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6">
    <w:name w:val="Table Grid 6"/>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7">
    <w:name w:val="Table Grid 7"/>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8">
    <w:name w:val="Table Grid 8"/>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elenco1">
    <w:name w:val="Table List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2">
    <w:name w:val="Table List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3">
    <w:name w:val="Table List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aelenco4">
    <w:name w:val="Table List 4"/>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5">
    <w:name w:val="Table List 5"/>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aelenco6">
    <w:name w:val="Table List 6"/>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aelenco7">
    <w:name w:val="Table List 7"/>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aelenco8">
    <w:name w:val="Table List 8"/>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ellaWeb1">
    <w:name w:val="Table Web 1"/>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 w:val="left" w:pos="10773"/>
        <w:tab w:val="left" w:pos="11340"/>
      </w:tabs>
      <w:autoSpaceDE w:val="0"/>
      <w:autoSpaceDN w:val="0"/>
      <w:adjustRightInd w:val="0"/>
      <w:spacing w:before="1" w:after="1" w:line="240" w:lineRule="exact"/>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qFormat/>
    <w:pPr>
      <w:spacing w:before="240" w:after="60"/>
      <w:jc w:val="center"/>
      <w:outlineLvl w:val="0"/>
    </w:pPr>
    <w:rPr>
      <w:rFonts w:ascii="Arial" w:hAnsi="Arial" w:cs="Arial"/>
      <w:b/>
      <w:kern w:val="28"/>
      <w:sz w:val="32"/>
      <w:szCs w:val="32"/>
    </w:rPr>
  </w:style>
  <w:style w:type="character" w:customStyle="1" w:styleId="Titolo1Carattere">
    <w:name w:val="Titolo 1 Carattere"/>
    <w:aliases w:val="WEDC Heading 1 Carattere"/>
    <w:link w:val="Titolo1"/>
    <w:uiPriority w:val="9"/>
    <w:rPr>
      <w:rFonts w:ascii="Arial" w:hAnsi="Arial" w:cs="Arial"/>
      <w:b/>
      <w:color w:val="000000"/>
      <w:sz w:val="23"/>
      <w:szCs w:val="23"/>
      <w:lang w:val="en-GB" w:eastAsia="en-US" w:bidi="ar-SA"/>
    </w:rPr>
  </w:style>
  <w:style w:type="character" w:customStyle="1" w:styleId="Titolo2Carattere">
    <w:name w:val="Titolo 2 Carattere"/>
    <w:aliases w:val="WEDC - Heading 2 Carattere"/>
    <w:link w:val="Titolo2"/>
    <w:rPr>
      <w:rFonts w:ascii="Arial" w:hAnsi="Arial" w:cs="Arial"/>
      <w:b/>
      <w:color w:val="000000"/>
      <w:sz w:val="23"/>
      <w:szCs w:val="23"/>
      <w:lang w:val="en-GB" w:eastAsia="en-US" w:bidi="ar-SA"/>
    </w:rPr>
  </w:style>
  <w:style w:type="character" w:customStyle="1" w:styleId="Titolo3Carattere">
    <w:name w:val="Titolo 3 Carattere"/>
    <w:aliases w:val="WEDC - Heading 3 Carattere"/>
    <w:link w:val="Titolo3"/>
    <w:rPr>
      <w:rFonts w:ascii="Arial" w:hAnsi="Arial" w:cs="Arial"/>
      <w:b/>
      <w:i/>
      <w:iCs/>
      <w:color w:val="000000"/>
      <w:sz w:val="23"/>
      <w:szCs w:val="23"/>
      <w:lang w:val="en-GB" w:eastAsia="en-US" w:bidi="ar-SA"/>
    </w:rPr>
  </w:style>
  <w:style w:type="character" w:customStyle="1" w:styleId="Titolo4Carattere">
    <w:name w:val="Titolo 4 Carattere"/>
    <w:aliases w:val="WEDC - Heading 4 Carattere"/>
    <w:link w:val="Titolo4"/>
    <w:rPr>
      <w:rFonts w:ascii="Arial" w:hAnsi="Arial" w:cs="Arial"/>
      <w:b/>
      <w:i/>
      <w:iCs/>
      <w:color w:val="000000"/>
      <w:sz w:val="23"/>
      <w:szCs w:val="28"/>
      <w:lang w:val="en-GB" w:eastAsia="en-US" w:bidi="ar-SA"/>
    </w:rPr>
  </w:style>
  <w:style w:type="paragraph" w:customStyle="1" w:styleId="WEDC-36thWEDCConference">
    <w:name w:val="WEDC - 36th WEDC Conference"/>
    <w:pPr>
      <w:spacing w:before="300"/>
      <w:jc w:val="center"/>
    </w:pPr>
    <w:rPr>
      <w:b/>
      <w:bCs/>
      <w:color w:val="000000"/>
      <w:sz w:val="24"/>
      <w:szCs w:val="24"/>
    </w:rPr>
  </w:style>
  <w:style w:type="paragraph" w:customStyle="1" w:styleId="WEDC-Boxtitle">
    <w:name w:val="WEDC - Box title"/>
    <w:link w:val="WEDC-BoxtitleCharChar"/>
    <w:pPr>
      <w:jc w:val="center"/>
    </w:pPr>
    <w:rPr>
      <w:rFonts w:ascii="Arial" w:hAnsi="Arial" w:cs="Arial"/>
      <w:b/>
      <w:sz w:val="22"/>
      <w:lang w:val="en-GB"/>
    </w:rPr>
  </w:style>
  <w:style w:type="character" w:customStyle="1" w:styleId="WEDC-BoxtitleCharChar">
    <w:name w:val="WEDC - Box title Char Char"/>
    <w:link w:val="WEDC-Boxtitle"/>
    <w:rPr>
      <w:rFonts w:ascii="Arial" w:hAnsi="Arial" w:cs="Arial"/>
      <w:b/>
      <w:sz w:val="22"/>
      <w:lang w:val="en-GB" w:eastAsia="en-US" w:bidi="ar-SA"/>
    </w:rPr>
  </w:style>
  <w:style w:type="paragraph" w:customStyle="1" w:styleId="WEDC-Bodytextwithbulletpoint2">
    <w:name w:val="WEDC - Body text with bullet point 2"/>
    <w:next w:val="Normale"/>
    <w:pPr>
      <w:numPr>
        <w:numId w:val="15"/>
      </w:numPr>
    </w:pPr>
    <w:rPr>
      <w:bCs/>
      <w:color w:val="000000"/>
      <w:spacing w:val="-2"/>
      <w:lang w:val="en-GB"/>
    </w:rPr>
  </w:style>
  <w:style w:type="character" w:customStyle="1" w:styleId="WEDC-BodytextindentedCharChar">
    <w:name w:val="WEDC - Body text indented Char Char"/>
    <w:link w:val="WEDC-Bodytextindented"/>
    <w:rsid w:val="008728AE"/>
    <w:rPr>
      <w:bCs/>
      <w:color w:val="000000"/>
      <w:spacing w:val="-2"/>
    </w:rPr>
  </w:style>
  <w:style w:type="paragraph" w:customStyle="1" w:styleId="WEDC-Boxtextwithbullets">
    <w:name w:val="WEDC - Box text with bullets"/>
    <w:link w:val="WEDC-BoxtextwithbulletsCharChar"/>
    <w:pPr>
      <w:numPr>
        <w:numId w:val="16"/>
      </w:numPr>
      <w:tabs>
        <w:tab w:val="left" w:pos="170"/>
        <w:tab w:val="left" w:pos="510"/>
      </w:tabs>
    </w:pPr>
    <w:rPr>
      <w:rFonts w:ascii="Arial" w:hAnsi="Arial" w:cs="Arial"/>
      <w:sz w:val="17"/>
      <w:lang w:val="en-GB"/>
    </w:rPr>
  </w:style>
  <w:style w:type="character" w:customStyle="1" w:styleId="WEDC-BoxtextwithbulletsCharChar">
    <w:name w:val="WEDC - Box text with bullets Char Char"/>
    <w:link w:val="WEDC-Boxtextwithbullets"/>
    <w:rPr>
      <w:rFonts w:ascii="Arial" w:hAnsi="Arial" w:cs="Arial"/>
      <w:sz w:val="17"/>
      <w:lang w:val="en-GB" w:eastAsia="en-US" w:bidi="ar-SA"/>
    </w:rPr>
  </w:style>
  <w:style w:type="character" w:customStyle="1" w:styleId="WEDC-050spaceCharChar">
    <w:name w:val="WEDC - 0.50 space Char Char"/>
    <w:link w:val="WEDC-050space"/>
    <w:rPr>
      <w:sz w:val="18"/>
      <w:szCs w:val="12"/>
      <w:lang w:val="en-US" w:eastAsia="en-US" w:bidi="ar-SA"/>
    </w:rPr>
  </w:style>
  <w:style w:type="paragraph" w:styleId="Testofumetto">
    <w:name w:val="Balloon Text"/>
    <w:basedOn w:val="Normale"/>
    <w:semiHidden/>
    <w:rPr>
      <w:rFonts w:ascii="Tahoma" w:hAnsi="Tahoma" w:cs="Tahoma"/>
      <w:sz w:val="16"/>
      <w:szCs w:val="16"/>
    </w:rPr>
  </w:style>
  <w:style w:type="character" w:styleId="Rimandocommento">
    <w:name w:val="annotation reference"/>
    <w:semiHidden/>
    <w:rPr>
      <w:sz w:val="16"/>
      <w:szCs w:val="16"/>
    </w:rPr>
  </w:style>
  <w:style w:type="paragraph" w:styleId="Testocommento">
    <w:name w:val="annotation text"/>
    <w:basedOn w:val="Normale"/>
    <w:semiHidden/>
    <w:rPr>
      <w:szCs w:val="20"/>
    </w:rPr>
  </w:style>
  <w:style w:type="paragraph" w:styleId="Soggettocommento">
    <w:name w:val="annotation subject"/>
    <w:basedOn w:val="Testocommento"/>
    <w:next w:val="Testocommento"/>
    <w:semiHidden/>
    <w:rPr>
      <w:b/>
    </w:rPr>
  </w:style>
  <w:style w:type="paragraph" w:customStyle="1" w:styleId="WEDC-Source">
    <w:name w:val="WEDC - Source"/>
    <w:pPr>
      <w:spacing w:line="190" w:lineRule="atLeast"/>
      <w:jc w:val="center"/>
    </w:pPr>
    <w:rPr>
      <w:rFonts w:ascii="Arial" w:hAnsi="Arial" w:cs="Arial"/>
      <w:bCs/>
      <w:sz w:val="16"/>
      <w:szCs w:val="16"/>
      <w:lang w:val="en-GB"/>
    </w:rPr>
  </w:style>
  <w:style w:type="paragraph" w:customStyle="1" w:styleId="WEDC-Phototitle">
    <w:name w:val="WEDC - Photo title"/>
    <w:pPr>
      <w:spacing w:line="240" w:lineRule="atLeast"/>
      <w:jc w:val="center"/>
    </w:pPr>
    <w:rPr>
      <w:rFonts w:ascii="Arial" w:hAnsi="Arial" w:cs="Arial"/>
      <w:b/>
      <w:sz w:val="18"/>
      <w:lang w:val="en-GB"/>
    </w:rPr>
  </w:style>
  <w:style w:type="character" w:styleId="Riferimentodelicato">
    <w:name w:val="Subtle Reference"/>
    <w:basedOn w:val="Caratterepredefinitoparagrafo"/>
    <w:uiPriority w:val="31"/>
    <w:qFormat/>
    <w:rsid w:val="0064575D"/>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41237">
      <w:bodyDiv w:val="1"/>
      <w:marLeft w:val="0"/>
      <w:marRight w:val="0"/>
      <w:marTop w:val="0"/>
      <w:marBottom w:val="0"/>
      <w:divBdr>
        <w:top w:val="none" w:sz="0" w:space="0" w:color="auto"/>
        <w:left w:val="none" w:sz="0" w:space="0" w:color="auto"/>
        <w:bottom w:val="none" w:sz="0" w:space="0" w:color="auto"/>
        <w:right w:val="none" w:sz="0" w:space="0" w:color="auto"/>
      </w:divBdr>
    </w:div>
    <w:div w:id="40327637">
      <w:bodyDiv w:val="1"/>
      <w:marLeft w:val="0"/>
      <w:marRight w:val="0"/>
      <w:marTop w:val="0"/>
      <w:marBottom w:val="0"/>
      <w:divBdr>
        <w:top w:val="none" w:sz="0" w:space="0" w:color="auto"/>
        <w:left w:val="none" w:sz="0" w:space="0" w:color="auto"/>
        <w:bottom w:val="none" w:sz="0" w:space="0" w:color="auto"/>
        <w:right w:val="none" w:sz="0" w:space="0" w:color="auto"/>
      </w:divBdr>
    </w:div>
    <w:div w:id="56169294">
      <w:bodyDiv w:val="1"/>
      <w:marLeft w:val="0"/>
      <w:marRight w:val="0"/>
      <w:marTop w:val="0"/>
      <w:marBottom w:val="0"/>
      <w:divBdr>
        <w:top w:val="none" w:sz="0" w:space="0" w:color="auto"/>
        <w:left w:val="none" w:sz="0" w:space="0" w:color="auto"/>
        <w:bottom w:val="none" w:sz="0" w:space="0" w:color="auto"/>
        <w:right w:val="none" w:sz="0" w:space="0" w:color="auto"/>
      </w:divBdr>
    </w:div>
    <w:div w:id="132063535">
      <w:bodyDiv w:val="1"/>
      <w:marLeft w:val="0"/>
      <w:marRight w:val="0"/>
      <w:marTop w:val="0"/>
      <w:marBottom w:val="0"/>
      <w:divBdr>
        <w:top w:val="none" w:sz="0" w:space="0" w:color="auto"/>
        <w:left w:val="none" w:sz="0" w:space="0" w:color="auto"/>
        <w:bottom w:val="none" w:sz="0" w:space="0" w:color="auto"/>
        <w:right w:val="none" w:sz="0" w:space="0" w:color="auto"/>
      </w:divBdr>
    </w:div>
    <w:div w:id="139274748">
      <w:bodyDiv w:val="1"/>
      <w:marLeft w:val="0"/>
      <w:marRight w:val="0"/>
      <w:marTop w:val="0"/>
      <w:marBottom w:val="0"/>
      <w:divBdr>
        <w:top w:val="none" w:sz="0" w:space="0" w:color="auto"/>
        <w:left w:val="none" w:sz="0" w:space="0" w:color="auto"/>
        <w:bottom w:val="none" w:sz="0" w:space="0" w:color="auto"/>
        <w:right w:val="none" w:sz="0" w:space="0" w:color="auto"/>
      </w:divBdr>
    </w:div>
    <w:div w:id="193469753">
      <w:bodyDiv w:val="1"/>
      <w:marLeft w:val="0"/>
      <w:marRight w:val="0"/>
      <w:marTop w:val="0"/>
      <w:marBottom w:val="0"/>
      <w:divBdr>
        <w:top w:val="none" w:sz="0" w:space="0" w:color="auto"/>
        <w:left w:val="none" w:sz="0" w:space="0" w:color="auto"/>
        <w:bottom w:val="none" w:sz="0" w:space="0" w:color="auto"/>
        <w:right w:val="none" w:sz="0" w:space="0" w:color="auto"/>
      </w:divBdr>
    </w:div>
    <w:div w:id="220680754">
      <w:bodyDiv w:val="1"/>
      <w:marLeft w:val="0"/>
      <w:marRight w:val="0"/>
      <w:marTop w:val="0"/>
      <w:marBottom w:val="0"/>
      <w:divBdr>
        <w:top w:val="none" w:sz="0" w:space="0" w:color="auto"/>
        <w:left w:val="none" w:sz="0" w:space="0" w:color="auto"/>
        <w:bottom w:val="none" w:sz="0" w:space="0" w:color="auto"/>
        <w:right w:val="none" w:sz="0" w:space="0" w:color="auto"/>
      </w:divBdr>
    </w:div>
    <w:div w:id="232204511">
      <w:bodyDiv w:val="1"/>
      <w:marLeft w:val="0"/>
      <w:marRight w:val="0"/>
      <w:marTop w:val="0"/>
      <w:marBottom w:val="0"/>
      <w:divBdr>
        <w:top w:val="none" w:sz="0" w:space="0" w:color="auto"/>
        <w:left w:val="none" w:sz="0" w:space="0" w:color="auto"/>
        <w:bottom w:val="none" w:sz="0" w:space="0" w:color="auto"/>
        <w:right w:val="none" w:sz="0" w:space="0" w:color="auto"/>
      </w:divBdr>
    </w:div>
    <w:div w:id="301929550">
      <w:bodyDiv w:val="1"/>
      <w:marLeft w:val="0"/>
      <w:marRight w:val="0"/>
      <w:marTop w:val="0"/>
      <w:marBottom w:val="0"/>
      <w:divBdr>
        <w:top w:val="none" w:sz="0" w:space="0" w:color="auto"/>
        <w:left w:val="none" w:sz="0" w:space="0" w:color="auto"/>
        <w:bottom w:val="none" w:sz="0" w:space="0" w:color="auto"/>
        <w:right w:val="none" w:sz="0" w:space="0" w:color="auto"/>
      </w:divBdr>
    </w:div>
    <w:div w:id="369838817">
      <w:bodyDiv w:val="1"/>
      <w:marLeft w:val="0"/>
      <w:marRight w:val="0"/>
      <w:marTop w:val="0"/>
      <w:marBottom w:val="0"/>
      <w:divBdr>
        <w:top w:val="none" w:sz="0" w:space="0" w:color="auto"/>
        <w:left w:val="none" w:sz="0" w:space="0" w:color="auto"/>
        <w:bottom w:val="none" w:sz="0" w:space="0" w:color="auto"/>
        <w:right w:val="none" w:sz="0" w:space="0" w:color="auto"/>
      </w:divBdr>
    </w:div>
    <w:div w:id="393312287">
      <w:bodyDiv w:val="1"/>
      <w:marLeft w:val="0"/>
      <w:marRight w:val="0"/>
      <w:marTop w:val="0"/>
      <w:marBottom w:val="0"/>
      <w:divBdr>
        <w:top w:val="none" w:sz="0" w:space="0" w:color="auto"/>
        <w:left w:val="none" w:sz="0" w:space="0" w:color="auto"/>
        <w:bottom w:val="none" w:sz="0" w:space="0" w:color="auto"/>
        <w:right w:val="none" w:sz="0" w:space="0" w:color="auto"/>
      </w:divBdr>
    </w:div>
    <w:div w:id="423382824">
      <w:bodyDiv w:val="1"/>
      <w:marLeft w:val="0"/>
      <w:marRight w:val="0"/>
      <w:marTop w:val="0"/>
      <w:marBottom w:val="0"/>
      <w:divBdr>
        <w:top w:val="none" w:sz="0" w:space="0" w:color="auto"/>
        <w:left w:val="none" w:sz="0" w:space="0" w:color="auto"/>
        <w:bottom w:val="none" w:sz="0" w:space="0" w:color="auto"/>
        <w:right w:val="none" w:sz="0" w:space="0" w:color="auto"/>
      </w:divBdr>
    </w:div>
    <w:div w:id="442266111">
      <w:bodyDiv w:val="1"/>
      <w:marLeft w:val="0"/>
      <w:marRight w:val="0"/>
      <w:marTop w:val="0"/>
      <w:marBottom w:val="0"/>
      <w:divBdr>
        <w:top w:val="none" w:sz="0" w:space="0" w:color="auto"/>
        <w:left w:val="none" w:sz="0" w:space="0" w:color="auto"/>
        <w:bottom w:val="none" w:sz="0" w:space="0" w:color="auto"/>
        <w:right w:val="none" w:sz="0" w:space="0" w:color="auto"/>
      </w:divBdr>
    </w:div>
    <w:div w:id="442968207">
      <w:bodyDiv w:val="1"/>
      <w:marLeft w:val="0"/>
      <w:marRight w:val="0"/>
      <w:marTop w:val="0"/>
      <w:marBottom w:val="0"/>
      <w:divBdr>
        <w:top w:val="none" w:sz="0" w:space="0" w:color="auto"/>
        <w:left w:val="none" w:sz="0" w:space="0" w:color="auto"/>
        <w:bottom w:val="none" w:sz="0" w:space="0" w:color="auto"/>
        <w:right w:val="none" w:sz="0" w:space="0" w:color="auto"/>
      </w:divBdr>
    </w:div>
    <w:div w:id="501508574">
      <w:bodyDiv w:val="1"/>
      <w:marLeft w:val="0"/>
      <w:marRight w:val="0"/>
      <w:marTop w:val="0"/>
      <w:marBottom w:val="0"/>
      <w:divBdr>
        <w:top w:val="none" w:sz="0" w:space="0" w:color="auto"/>
        <w:left w:val="none" w:sz="0" w:space="0" w:color="auto"/>
        <w:bottom w:val="none" w:sz="0" w:space="0" w:color="auto"/>
        <w:right w:val="none" w:sz="0" w:space="0" w:color="auto"/>
      </w:divBdr>
    </w:div>
    <w:div w:id="558788244">
      <w:bodyDiv w:val="1"/>
      <w:marLeft w:val="0"/>
      <w:marRight w:val="0"/>
      <w:marTop w:val="0"/>
      <w:marBottom w:val="0"/>
      <w:divBdr>
        <w:top w:val="none" w:sz="0" w:space="0" w:color="auto"/>
        <w:left w:val="none" w:sz="0" w:space="0" w:color="auto"/>
        <w:bottom w:val="none" w:sz="0" w:space="0" w:color="auto"/>
        <w:right w:val="none" w:sz="0" w:space="0" w:color="auto"/>
      </w:divBdr>
    </w:div>
    <w:div w:id="603881069">
      <w:bodyDiv w:val="1"/>
      <w:marLeft w:val="0"/>
      <w:marRight w:val="0"/>
      <w:marTop w:val="0"/>
      <w:marBottom w:val="0"/>
      <w:divBdr>
        <w:top w:val="none" w:sz="0" w:space="0" w:color="auto"/>
        <w:left w:val="none" w:sz="0" w:space="0" w:color="auto"/>
        <w:bottom w:val="none" w:sz="0" w:space="0" w:color="auto"/>
        <w:right w:val="none" w:sz="0" w:space="0" w:color="auto"/>
      </w:divBdr>
    </w:div>
    <w:div w:id="651064238">
      <w:bodyDiv w:val="1"/>
      <w:marLeft w:val="0"/>
      <w:marRight w:val="0"/>
      <w:marTop w:val="0"/>
      <w:marBottom w:val="0"/>
      <w:divBdr>
        <w:top w:val="none" w:sz="0" w:space="0" w:color="auto"/>
        <w:left w:val="none" w:sz="0" w:space="0" w:color="auto"/>
        <w:bottom w:val="none" w:sz="0" w:space="0" w:color="auto"/>
        <w:right w:val="none" w:sz="0" w:space="0" w:color="auto"/>
      </w:divBdr>
    </w:div>
    <w:div w:id="662008070">
      <w:bodyDiv w:val="1"/>
      <w:marLeft w:val="0"/>
      <w:marRight w:val="0"/>
      <w:marTop w:val="0"/>
      <w:marBottom w:val="0"/>
      <w:divBdr>
        <w:top w:val="none" w:sz="0" w:space="0" w:color="auto"/>
        <w:left w:val="none" w:sz="0" w:space="0" w:color="auto"/>
        <w:bottom w:val="none" w:sz="0" w:space="0" w:color="auto"/>
        <w:right w:val="none" w:sz="0" w:space="0" w:color="auto"/>
      </w:divBdr>
    </w:div>
    <w:div w:id="736516072">
      <w:bodyDiv w:val="1"/>
      <w:marLeft w:val="0"/>
      <w:marRight w:val="0"/>
      <w:marTop w:val="0"/>
      <w:marBottom w:val="0"/>
      <w:divBdr>
        <w:top w:val="none" w:sz="0" w:space="0" w:color="auto"/>
        <w:left w:val="none" w:sz="0" w:space="0" w:color="auto"/>
        <w:bottom w:val="none" w:sz="0" w:space="0" w:color="auto"/>
        <w:right w:val="none" w:sz="0" w:space="0" w:color="auto"/>
      </w:divBdr>
    </w:div>
    <w:div w:id="758257017">
      <w:bodyDiv w:val="1"/>
      <w:marLeft w:val="0"/>
      <w:marRight w:val="0"/>
      <w:marTop w:val="0"/>
      <w:marBottom w:val="0"/>
      <w:divBdr>
        <w:top w:val="none" w:sz="0" w:space="0" w:color="auto"/>
        <w:left w:val="none" w:sz="0" w:space="0" w:color="auto"/>
        <w:bottom w:val="none" w:sz="0" w:space="0" w:color="auto"/>
        <w:right w:val="none" w:sz="0" w:space="0" w:color="auto"/>
      </w:divBdr>
    </w:div>
    <w:div w:id="776675264">
      <w:bodyDiv w:val="1"/>
      <w:marLeft w:val="0"/>
      <w:marRight w:val="0"/>
      <w:marTop w:val="0"/>
      <w:marBottom w:val="0"/>
      <w:divBdr>
        <w:top w:val="none" w:sz="0" w:space="0" w:color="auto"/>
        <w:left w:val="none" w:sz="0" w:space="0" w:color="auto"/>
        <w:bottom w:val="none" w:sz="0" w:space="0" w:color="auto"/>
        <w:right w:val="none" w:sz="0" w:space="0" w:color="auto"/>
      </w:divBdr>
    </w:div>
    <w:div w:id="805123915">
      <w:bodyDiv w:val="1"/>
      <w:marLeft w:val="0"/>
      <w:marRight w:val="0"/>
      <w:marTop w:val="0"/>
      <w:marBottom w:val="0"/>
      <w:divBdr>
        <w:top w:val="none" w:sz="0" w:space="0" w:color="auto"/>
        <w:left w:val="none" w:sz="0" w:space="0" w:color="auto"/>
        <w:bottom w:val="none" w:sz="0" w:space="0" w:color="auto"/>
        <w:right w:val="none" w:sz="0" w:space="0" w:color="auto"/>
      </w:divBdr>
    </w:div>
    <w:div w:id="833569329">
      <w:bodyDiv w:val="1"/>
      <w:marLeft w:val="0"/>
      <w:marRight w:val="0"/>
      <w:marTop w:val="0"/>
      <w:marBottom w:val="0"/>
      <w:divBdr>
        <w:top w:val="none" w:sz="0" w:space="0" w:color="auto"/>
        <w:left w:val="none" w:sz="0" w:space="0" w:color="auto"/>
        <w:bottom w:val="none" w:sz="0" w:space="0" w:color="auto"/>
        <w:right w:val="none" w:sz="0" w:space="0" w:color="auto"/>
      </w:divBdr>
    </w:div>
    <w:div w:id="839541266">
      <w:bodyDiv w:val="1"/>
      <w:marLeft w:val="0"/>
      <w:marRight w:val="0"/>
      <w:marTop w:val="0"/>
      <w:marBottom w:val="0"/>
      <w:divBdr>
        <w:top w:val="none" w:sz="0" w:space="0" w:color="auto"/>
        <w:left w:val="none" w:sz="0" w:space="0" w:color="auto"/>
        <w:bottom w:val="none" w:sz="0" w:space="0" w:color="auto"/>
        <w:right w:val="none" w:sz="0" w:space="0" w:color="auto"/>
      </w:divBdr>
    </w:div>
    <w:div w:id="878206038">
      <w:bodyDiv w:val="1"/>
      <w:marLeft w:val="0"/>
      <w:marRight w:val="0"/>
      <w:marTop w:val="0"/>
      <w:marBottom w:val="0"/>
      <w:divBdr>
        <w:top w:val="none" w:sz="0" w:space="0" w:color="auto"/>
        <w:left w:val="none" w:sz="0" w:space="0" w:color="auto"/>
        <w:bottom w:val="none" w:sz="0" w:space="0" w:color="auto"/>
        <w:right w:val="none" w:sz="0" w:space="0" w:color="auto"/>
      </w:divBdr>
    </w:div>
    <w:div w:id="879629730">
      <w:bodyDiv w:val="1"/>
      <w:marLeft w:val="0"/>
      <w:marRight w:val="0"/>
      <w:marTop w:val="0"/>
      <w:marBottom w:val="0"/>
      <w:divBdr>
        <w:top w:val="none" w:sz="0" w:space="0" w:color="auto"/>
        <w:left w:val="none" w:sz="0" w:space="0" w:color="auto"/>
        <w:bottom w:val="none" w:sz="0" w:space="0" w:color="auto"/>
        <w:right w:val="none" w:sz="0" w:space="0" w:color="auto"/>
      </w:divBdr>
    </w:div>
    <w:div w:id="945384498">
      <w:bodyDiv w:val="1"/>
      <w:marLeft w:val="0"/>
      <w:marRight w:val="0"/>
      <w:marTop w:val="0"/>
      <w:marBottom w:val="0"/>
      <w:divBdr>
        <w:top w:val="none" w:sz="0" w:space="0" w:color="auto"/>
        <w:left w:val="none" w:sz="0" w:space="0" w:color="auto"/>
        <w:bottom w:val="none" w:sz="0" w:space="0" w:color="auto"/>
        <w:right w:val="none" w:sz="0" w:space="0" w:color="auto"/>
      </w:divBdr>
    </w:div>
    <w:div w:id="977107865">
      <w:bodyDiv w:val="1"/>
      <w:marLeft w:val="0"/>
      <w:marRight w:val="0"/>
      <w:marTop w:val="0"/>
      <w:marBottom w:val="0"/>
      <w:divBdr>
        <w:top w:val="none" w:sz="0" w:space="0" w:color="auto"/>
        <w:left w:val="none" w:sz="0" w:space="0" w:color="auto"/>
        <w:bottom w:val="none" w:sz="0" w:space="0" w:color="auto"/>
        <w:right w:val="none" w:sz="0" w:space="0" w:color="auto"/>
      </w:divBdr>
    </w:div>
    <w:div w:id="985476066">
      <w:bodyDiv w:val="1"/>
      <w:marLeft w:val="0"/>
      <w:marRight w:val="0"/>
      <w:marTop w:val="0"/>
      <w:marBottom w:val="0"/>
      <w:divBdr>
        <w:top w:val="none" w:sz="0" w:space="0" w:color="auto"/>
        <w:left w:val="none" w:sz="0" w:space="0" w:color="auto"/>
        <w:bottom w:val="none" w:sz="0" w:space="0" w:color="auto"/>
        <w:right w:val="none" w:sz="0" w:space="0" w:color="auto"/>
      </w:divBdr>
    </w:div>
    <w:div w:id="1116212262">
      <w:bodyDiv w:val="1"/>
      <w:marLeft w:val="0"/>
      <w:marRight w:val="0"/>
      <w:marTop w:val="0"/>
      <w:marBottom w:val="0"/>
      <w:divBdr>
        <w:top w:val="none" w:sz="0" w:space="0" w:color="auto"/>
        <w:left w:val="none" w:sz="0" w:space="0" w:color="auto"/>
        <w:bottom w:val="none" w:sz="0" w:space="0" w:color="auto"/>
        <w:right w:val="none" w:sz="0" w:space="0" w:color="auto"/>
      </w:divBdr>
    </w:div>
    <w:div w:id="1132748069">
      <w:bodyDiv w:val="1"/>
      <w:marLeft w:val="0"/>
      <w:marRight w:val="0"/>
      <w:marTop w:val="0"/>
      <w:marBottom w:val="0"/>
      <w:divBdr>
        <w:top w:val="none" w:sz="0" w:space="0" w:color="auto"/>
        <w:left w:val="none" w:sz="0" w:space="0" w:color="auto"/>
        <w:bottom w:val="none" w:sz="0" w:space="0" w:color="auto"/>
        <w:right w:val="none" w:sz="0" w:space="0" w:color="auto"/>
      </w:divBdr>
    </w:div>
    <w:div w:id="1237858166">
      <w:bodyDiv w:val="1"/>
      <w:marLeft w:val="0"/>
      <w:marRight w:val="0"/>
      <w:marTop w:val="0"/>
      <w:marBottom w:val="0"/>
      <w:divBdr>
        <w:top w:val="none" w:sz="0" w:space="0" w:color="auto"/>
        <w:left w:val="none" w:sz="0" w:space="0" w:color="auto"/>
        <w:bottom w:val="none" w:sz="0" w:space="0" w:color="auto"/>
        <w:right w:val="none" w:sz="0" w:space="0" w:color="auto"/>
      </w:divBdr>
    </w:div>
    <w:div w:id="1260257360">
      <w:bodyDiv w:val="1"/>
      <w:marLeft w:val="0"/>
      <w:marRight w:val="0"/>
      <w:marTop w:val="0"/>
      <w:marBottom w:val="0"/>
      <w:divBdr>
        <w:top w:val="none" w:sz="0" w:space="0" w:color="auto"/>
        <w:left w:val="none" w:sz="0" w:space="0" w:color="auto"/>
        <w:bottom w:val="none" w:sz="0" w:space="0" w:color="auto"/>
        <w:right w:val="none" w:sz="0" w:space="0" w:color="auto"/>
      </w:divBdr>
    </w:div>
    <w:div w:id="1290472940">
      <w:bodyDiv w:val="1"/>
      <w:marLeft w:val="0"/>
      <w:marRight w:val="0"/>
      <w:marTop w:val="0"/>
      <w:marBottom w:val="0"/>
      <w:divBdr>
        <w:top w:val="none" w:sz="0" w:space="0" w:color="auto"/>
        <w:left w:val="none" w:sz="0" w:space="0" w:color="auto"/>
        <w:bottom w:val="none" w:sz="0" w:space="0" w:color="auto"/>
        <w:right w:val="none" w:sz="0" w:space="0" w:color="auto"/>
      </w:divBdr>
    </w:div>
    <w:div w:id="1293635916">
      <w:bodyDiv w:val="1"/>
      <w:marLeft w:val="0"/>
      <w:marRight w:val="0"/>
      <w:marTop w:val="0"/>
      <w:marBottom w:val="0"/>
      <w:divBdr>
        <w:top w:val="none" w:sz="0" w:space="0" w:color="auto"/>
        <w:left w:val="none" w:sz="0" w:space="0" w:color="auto"/>
        <w:bottom w:val="none" w:sz="0" w:space="0" w:color="auto"/>
        <w:right w:val="none" w:sz="0" w:space="0" w:color="auto"/>
      </w:divBdr>
    </w:div>
    <w:div w:id="1298755376">
      <w:bodyDiv w:val="1"/>
      <w:marLeft w:val="0"/>
      <w:marRight w:val="0"/>
      <w:marTop w:val="0"/>
      <w:marBottom w:val="0"/>
      <w:divBdr>
        <w:top w:val="none" w:sz="0" w:space="0" w:color="auto"/>
        <w:left w:val="none" w:sz="0" w:space="0" w:color="auto"/>
        <w:bottom w:val="none" w:sz="0" w:space="0" w:color="auto"/>
        <w:right w:val="none" w:sz="0" w:space="0" w:color="auto"/>
      </w:divBdr>
    </w:div>
    <w:div w:id="1302269335">
      <w:bodyDiv w:val="1"/>
      <w:marLeft w:val="0"/>
      <w:marRight w:val="0"/>
      <w:marTop w:val="0"/>
      <w:marBottom w:val="0"/>
      <w:divBdr>
        <w:top w:val="none" w:sz="0" w:space="0" w:color="auto"/>
        <w:left w:val="none" w:sz="0" w:space="0" w:color="auto"/>
        <w:bottom w:val="none" w:sz="0" w:space="0" w:color="auto"/>
        <w:right w:val="none" w:sz="0" w:space="0" w:color="auto"/>
      </w:divBdr>
    </w:div>
    <w:div w:id="1429692455">
      <w:bodyDiv w:val="1"/>
      <w:marLeft w:val="0"/>
      <w:marRight w:val="0"/>
      <w:marTop w:val="0"/>
      <w:marBottom w:val="0"/>
      <w:divBdr>
        <w:top w:val="none" w:sz="0" w:space="0" w:color="auto"/>
        <w:left w:val="none" w:sz="0" w:space="0" w:color="auto"/>
        <w:bottom w:val="none" w:sz="0" w:space="0" w:color="auto"/>
        <w:right w:val="none" w:sz="0" w:space="0" w:color="auto"/>
      </w:divBdr>
    </w:div>
    <w:div w:id="1435129138">
      <w:bodyDiv w:val="1"/>
      <w:marLeft w:val="0"/>
      <w:marRight w:val="0"/>
      <w:marTop w:val="0"/>
      <w:marBottom w:val="0"/>
      <w:divBdr>
        <w:top w:val="none" w:sz="0" w:space="0" w:color="auto"/>
        <w:left w:val="none" w:sz="0" w:space="0" w:color="auto"/>
        <w:bottom w:val="none" w:sz="0" w:space="0" w:color="auto"/>
        <w:right w:val="none" w:sz="0" w:space="0" w:color="auto"/>
      </w:divBdr>
    </w:div>
    <w:div w:id="1478956136">
      <w:bodyDiv w:val="1"/>
      <w:marLeft w:val="0"/>
      <w:marRight w:val="0"/>
      <w:marTop w:val="0"/>
      <w:marBottom w:val="0"/>
      <w:divBdr>
        <w:top w:val="none" w:sz="0" w:space="0" w:color="auto"/>
        <w:left w:val="none" w:sz="0" w:space="0" w:color="auto"/>
        <w:bottom w:val="none" w:sz="0" w:space="0" w:color="auto"/>
        <w:right w:val="none" w:sz="0" w:space="0" w:color="auto"/>
      </w:divBdr>
    </w:div>
    <w:div w:id="1495416263">
      <w:bodyDiv w:val="1"/>
      <w:marLeft w:val="0"/>
      <w:marRight w:val="0"/>
      <w:marTop w:val="0"/>
      <w:marBottom w:val="0"/>
      <w:divBdr>
        <w:top w:val="none" w:sz="0" w:space="0" w:color="auto"/>
        <w:left w:val="none" w:sz="0" w:space="0" w:color="auto"/>
        <w:bottom w:val="none" w:sz="0" w:space="0" w:color="auto"/>
        <w:right w:val="none" w:sz="0" w:space="0" w:color="auto"/>
      </w:divBdr>
    </w:div>
    <w:div w:id="1507670277">
      <w:bodyDiv w:val="1"/>
      <w:marLeft w:val="0"/>
      <w:marRight w:val="0"/>
      <w:marTop w:val="0"/>
      <w:marBottom w:val="0"/>
      <w:divBdr>
        <w:top w:val="none" w:sz="0" w:space="0" w:color="auto"/>
        <w:left w:val="none" w:sz="0" w:space="0" w:color="auto"/>
        <w:bottom w:val="none" w:sz="0" w:space="0" w:color="auto"/>
        <w:right w:val="none" w:sz="0" w:space="0" w:color="auto"/>
      </w:divBdr>
    </w:div>
    <w:div w:id="1550995034">
      <w:bodyDiv w:val="1"/>
      <w:marLeft w:val="0"/>
      <w:marRight w:val="0"/>
      <w:marTop w:val="0"/>
      <w:marBottom w:val="0"/>
      <w:divBdr>
        <w:top w:val="none" w:sz="0" w:space="0" w:color="auto"/>
        <w:left w:val="none" w:sz="0" w:space="0" w:color="auto"/>
        <w:bottom w:val="none" w:sz="0" w:space="0" w:color="auto"/>
        <w:right w:val="none" w:sz="0" w:space="0" w:color="auto"/>
      </w:divBdr>
    </w:div>
    <w:div w:id="1812401850">
      <w:bodyDiv w:val="1"/>
      <w:marLeft w:val="0"/>
      <w:marRight w:val="0"/>
      <w:marTop w:val="0"/>
      <w:marBottom w:val="0"/>
      <w:divBdr>
        <w:top w:val="none" w:sz="0" w:space="0" w:color="auto"/>
        <w:left w:val="none" w:sz="0" w:space="0" w:color="auto"/>
        <w:bottom w:val="none" w:sz="0" w:space="0" w:color="auto"/>
        <w:right w:val="none" w:sz="0" w:space="0" w:color="auto"/>
      </w:divBdr>
    </w:div>
    <w:div w:id="1872759555">
      <w:bodyDiv w:val="1"/>
      <w:marLeft w:val="0"/>
      <w:marRight w:val="0"/>
      <w:marTop w:val="0"/>
      <w:marBottom w:val="0"/>
      <w:divBdr>
        <w:top w:val="none" w:sz="0" w:space="0" w:color="auto"/>
        <w:left w:val="none" w:sz="0" w:space="0" w:color="auto"/>
        <w:bottom w:val="none" w:sz="0" w:space="0" w:color="auto"/>
        <w:right w:val="none" w:sz="0" w:space="0" w:color="auto"/>
      </w:divBdr>
    </w:div>
    <w:div w:id="1877230763">
      <w:bodyDiv w:val="1"/>
      <w:marLeft w:val="0"/>
      <w:marRight w:val="0"/>
      <w:marTop w:val="0"/>
      <w:marBottom w:val="0"/>
      <w:divBdr>
        <w:top w:val="none" w:sz="0" w:space="0" w:color="auto"/>
        <w:left w:val="none" w:sz="0" w:space="0" w:color="auto"/>
        <w:bottom w:val="none" w:sz="0" w:space="0" w:color="auto"/>
        <w:right w:val="none" w:sz="0" w:space="0" w:color="auto"/>
      </w:divBdr>
    </w:div>
    <w:div w:id="1950235274">
      <w:bodyDiv w:val="1"/>
      <w:marLeft w:val="0"/>
      <w:marRight w:val="0"/>
      <w:marTop w:val="0"/>
      <w:marBottom w:val="0"/>
      <w:divBdr>
        <w:top w:val="none" w:sz="0" w:space="0" w:color="auto"/>
        <w:left w:val="none" w:sz="0" w:space="0" w:color="auto"/>
        <w:bottom w:val="none" w:sz="0" w:space="0" w:color="auto"/>
        <w:right w:val="none" w:sz="0" w:space="0" w:color="auto"/>
      </w:divBdr>
    </w:div>
    <w:div w:id="2022000135">
      <w:bodyDiv w:val="1"/>
      <w:marLeft w:val="0"/>
      <w:marRight w:val="0"/>
      <w:marTop w:val="0"/>
      <w:marBottom w:val="0"/>
      <w:divBdr>
        <w:top w:val="none" w:sz="0" w:space="0" w:color="auto"/>
        <w:left w:val="none" w:sz="0" w:space="0" w:color="auto"/>
        <w:bottom w:val="none" w:sz="0" w:space="0" w:color="auto"/>
        <w:right w:val="none" w:sz="0" w:space="0" w:color="auto"/>
      </w:divBdr>
    </w:div>
    <w:div w:id="2036150704">
      <w:bodyDiv w:val="1"/>
      <w:marLeft w:val="0"/>
      <w:marRight w:val="0"/>
      <w:marTop w:val="0"/>
      <w:marBottom w:val="0"/>
      <w:divBdr>
        <w:top w:val="none" w:sz="0" w:space="0" w:color="auto"/>
        <w:left w:val="none" w:sz="0" w:space="0" w:color="auto"/>
        <w:bottom w:val="none" w:sz="0" w:space="0" w:color="auto"/>
        <w:right w:val="none" w:sz="0" w:space="0" w:color="auto"/>
      </w:divBdr>
    </w:div>
    <w:div w:id="2045129513">
      <w:bodyDiv w:val="1"/>
      <w:marLeft w:val="0"/>
      <w:marRight w:val="0"/>
      <w:marTop w:val="0"/>
      <w:marBottom w:val="0"/>
      <w:divBdr>
        <w:top w:val="none" w:sz="0" w:space="0" w:color="auto"/>
        <w:left w:val="none" w:sz="0" w:space="0" w:color="auto"/>
        <w:bottom w:val="none" w:sz="0" w:space="0" w:color="auto"/>
        <w:right w:val="none" w:sz="0" w:space="0" w:color="auto"/>
      </w:divBdr>
    </w:div>
    <w:div w:id="2059740847">
      <w:bodyDiv w:val="1"/>
      <w:marLeft w:val="0"/>
      <w:marRight w:val="0"/>
      <w:marTop w:val="0"/>
      <w:marBottom w:val="0"/>
      <w:divBdr>
        <w:top w:val="none" w:sz="0" w:space="0" w:color="auto"/>
        <w:left w:val="none" w:sz="0" w:space="0" w:color="auto"/>
        <w:bottom w:val="none" w:sz="0" w:space="0" w:color="auto"/>
        <w:right w:val="none" w:sz="0" w:space="0" w:color="auto"/>
      </w:divBdr>
    </w:div>
    <w:div w:id="2072264344">
      <w:bodyDiv w:val="1"/>
      <w:marLeft w:val="0"/>
      <w:marRight w:val="0"/>
      <w:marTop w:val="0"/>
      <w:marBottom w:val="0"/>
      <w:divBdr>
        <w:top w:val="none" w:sz="0" w:space="0" w:color="auto"/>
        <w:left w:val="none" w:sz="0" w:space="0" w:color="auto"/>
        <w:bottom w:val="none" w:sz="0" w:space="0" w:color="auto"/>
        <w:right w:val="none" w:sz="0" w:space="0" w:color="auto"/>
      </w:divBdr>
    </w:div>
    <w:div w:id="2074348756">
      <w:bodyDiv w:val="1"/>
      <w:marLeft w:val="0"/>
      <w:marRight w:val="0"/>
      <w:marTop w:val="0"/>
      <w:marBottom w:val="0"/>
      <w:divBdr>
        <w:top w:val="none" w:sz="0" w:space="0" w:color="auto"/>
        <w:left w:val="none" w:sz="0" w:space="0" w:color="auto"/>
        <w:bottom w:val="none" w:sz="0" w:space="0" w:color="auto"/>
        <w:right w:val="none" w:sz="0" w:space="0" w:color="auto"/>
      </w:divBdr>
    </w:div>
    <w:div w:id="2099788042">
      <w:bodyDiv w:val="1"/>
      <w:marLeft w:val="0"/>
      <w:marRight w:val="0"/>
      <w:marTop w:val="0"/>
      <w:marBottom w:val="0"/>
      <w:divBdr>
        <w:top w:val="none" w:sz="0" w:space="0" w:color="auto"/>
        <w:left w:val="none" w:sz="0" w:space="0" w:color="auto"/>
        <w:bottom w:val="none" w:sz="0" w:space="0" w:color="auto"/>
        <w:right w:val="none" w:sz="0" w:space="0" w:color="auto"/>
      </w:divBdr>
    </w:div>
    <w:div w:id="2108304411">
      <w:bodyDiv w:val="1"/>
      <w:marLeft w:val="0"/>
      <w:marRight w:val="0"/>
      <w:marTop w:val="0"/>
      <w:marBottom w:val="0"/>
      <w:divBdr>
        <w:top w:val="none" w:sz="0" w:space="0" w:color="auto"/>
        <w:left w:val="none" w:sz="0" w:space="0" w:color="auto"/>
        <w:bottom w:val="none" w:sz="0" w:space="0" w:color="auto"/>
        <w:right w:val="none" w:sz="0" w:space="0" w:color="auto"/>
      </w:divBdr>
    </w:div>
    <w:div w:id="2114470220">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theme" Target="theme/theme1.xml"/><Relationship Id="rId10" Type="http://schemas.microsoft.com/office/2007/relationships/hdphoto" Target="media/hdphoto1.wdp"/><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mailto:ngala@unhcr.org" TargetMode="External"/><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header" Target="header2.xml"/><Relationship Id="rId18" Type="http://schemas.openxmlformats.org/officeDocument/2006/relationships/footer" Target="footer2.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WHO06</b:Tag>
    <b:SourceType>DocumentFromInternetSite</b:SourceType>
    <b:Guid>{5099EC38-2991-094B-96FA-B63932B7A4FC}</b:Guid>
    <b:Author>
      <b:Author>
        <b:Corporate>WHO</b:Corporate>
      </b:Author>
    </b:Author>
    <b:Title>Guidelines for the Safe use of Wastewater, Excreta and Greywater</b:Title>
    <b:URL>www.whqlibdoc.who.int/publications/2006/9241546824_eng.pdf</b:URL>
    <b:Year>2006</b:Year>
    <b:YearAccessed>2014</b:YearAccessed>
    <b:MonthAccessed>February</b:MonthAccessed>
    <b:DayAccessed>13</b:DayAccessed>
    <b:RefOrder>6</b:RefOrder>
  </b:Source>
  <b:Source>
    <b:Tag>Mun06</b:Tag>
    <b:SourceType>ConferenceProceedings</b:SourceType>
    <b:Guid>{1E2896DA-BFDD-4730-A327-07A2959CE07D}</b:Guid>
    <b:Title>Provision of Sustainable sanitation in emergency situations: role of ecosan</b:Title>
    <b:Year>2006</b:Year>
    <b:City>Colombo, Sri Lanka</b:City>
    <b:Publisher>WEDC</b:Publisher>
    <b:Pages>506-509</b:Pages>
    <b:ConferenceName>Sustainable Development of Water resources, Water Supply and Environmental Sanitation</b:ConferenceName>
    <b:Author>
      <b:Author>
        <b:NameList>
          <b:Person>
            <b:Last>Munch</b:Last>
            <b:Middle>V</b:Middle>
            <b:First>E</b:First>
          </b:Person>
          <b:Person>
            <b:Last>Ochs</b:Last>
            <b:First>A</b:First>
          </b:Person>
          <b:Person>
            <b:Last>Amy </b:Last>
            <b:First>G</b:First>
          </b:Person>
          <b:Person>
            <b:Last>Mwase </b:Last>
            <b:First>H</b:First>
          </b:Person>
          <b:Person>
            <b:Last>Francois Fesselet</b:Last>
            <b:First>J</b:First>
          </b:Person>
        </b:NameList>
      </b:Author>
    </b:Author>
    <b:RefOrder>7</b:RefOrder>
  </b:Source>
  <b:Source>
    <b:Tag>Til</b:Tag>
    <b:SourceType>DocumentFromInternetSite</b:SourceType>
    <b:Guid>{55C2E517-00BC-4A96-86ED-903406A7BC6F}</b:Guid>
    <b:Title>Compedium of Sanitation Systems and Technologies</b:Title>
    <b:Author>
      <b:Author>
        <b:NameList>
          <b:Person>
            <b:Last>Tilley</b:Last>
            <b:First>Elizabeth</b:First>
          </b:Person>
          <b:Person>
            <b:Last>Luthi</b:Last>
            <b:First>Christopher</b:First>
          </b:Person>
          <b:Person>
            <b:Last>Morel</b:Last>
            <b:First>Antoine</b:First>
          </b:Person>
          <b:Person>
            <b:Last>Zurbrugg</b:Last>
            <b:First>Chris</b:First>
          </b:Person>
          <b:Person>
            <b:Last>Schetenleib</b:Last>
            <b:First>Roland</b:First>
          </b:Person>
        </b:NameList>
      </b:Author>
    </b:Author>
    <b:InternetSiteTitle>EAWAG</b:InternetSiteTitle>
    <b:URL>http://www.eawag.ch/forschung/sandec/publikationen/sesp/dl/compendium_high.pdf</b:URL>
    <b:Year>2008</b:Year>
    <b:RefOrder>8</b:RefOrder>
  </b:Source>
  <b:Source>
    <b:Tag>Tec12</b:Tag>
    <b:SourceType>DocumentFromInternetSite</b:SourceType>
    <b:Guid>{6DB19A14-07FD-4D53-91F0-F02A397F8E79}</b:Guid>
    <b:Title>Technology Review of UDDTs</b:Title>
    <b:InternetSiteTitle>Sustainable Sanitation Alliance</b:InternetSiteTitle>
    <b:Year>2012</b:Year>
    <b:Month>December</b:Month>
    <b:URL>http://www.susana.org/docs_ccbk/susana_download/2-874-technology-review-of-uddts-18-june-2013.pdf</b:URL>
    <b:Author>
      <b:Author>
        <b:NameList>
          <b:Person>
            <b:Last>Rieck</b:Last>
            <b:First>Christian</b:First>
          </b:Person>
          <b:Person>
            <b:Last>Munch</b:Last>
            <b:Middle>von</b:Middle>
            <b:First>Elizabeth</b:First>
          </b:Person>
          <b:Person>
            <b:Last>Hoffman</b:Last>
            <b:First>Heike</b:First>
          </b:Person>
        </b:NameList>
      </b:Author>
    </b:Author>
    <b:RefOrder>1</b:RefOrder>
  </b:Source>
  <b:Source>
    <b:Tag>Veo13</b:Tag>
    <b:SourceType>Report</b:SourceType>
    <b:Guid>{6C2B376E-8F5F-48AC-9D68-798A05C66B63}</b:Guid>
    <b:Title>WASH Consultancy Assesment Report, Dollo Ado Refugee Camps</b:Title>
    <b:Year>2013</b:Year>
    <b:Author>
      <b:Author>
        <b:Corporate>Veolia Environment Foundation</b:Corporate>
      </b:Author>
    </b:Author>
    <b:RefOrder>2</b:RefOrder>
  </b:Source>
  <b:Source>
    <b:Tag>Wat12</b:Tag>
    <b:SourceType>Report</b:SourceType>
    <b:Guid>{DDB1D148-D610-4B46-9329-C55AADE57B4D}</b:Guid>
    <b:Title>Introduction of Urine Diversion and Drying Toilet in Hiloweyn Refugee Camp, Dollo Ado, Ethiopia</b:Title>
    <b:Year>2012</b:Year>
    <b:Publisher>Oxfam</b:Publisher>
    <b:Author>
      <b:Author>
        <b:Corporate>Oxfam</b:Corporate>
      </b:Author>
    </b:Author>
    <b:RefOrder>4</b:RefOrder>
  </b:Source>
  <b:Source>
    <b:Tag>Oxf12</b:Tag>
    <b:SourceType>Report</b:SourceType>
    <b:Guid>{35B3E9E3-092C-413D-B3EF-A9D900413DFA}</b:Guid>
    <b:Author>
      <b:Author>
        <b:NameList>
          <b:Person>
            <b:Last>Oxfam</b:Last>
          </b:Person>
        </b:NameList>
      </b:Author>
    </b:Author>
    <b:Title>Hiloweyn Urine Diversion &amp; Dry Toilet Demand Survey</b:Title>
    <b:Year>2012</b:Year>
    <b:RefOrder>5</b:RefOrder>
  </b:Source>
  <b:Source>
    <b:Tag>Kin12</b:Tag>
    <b:SourceType>ElectronicSource</b:SourceType>
    <b:Guid>{6541A1C3-5436-4AEC-8DAE-AC78C8BCB7E1}</b:Guid>
    <b:Title>The Application of Ecological Sanitation for Excreta Disposal in Disaster Relief</b:Title>
    <b:Year>2012</b:Year>
    <b:Month>April</b:Month>
    <b:URL>http://www.susana.org/lang-en/library/library?view=ccbktypeitem&amp;type=2&amp;id=1506</b:URL>
    <b:YearAccessed>2014</b:YearAccessed>
    <b:MonthAccessed>April</b:MonthAccessed>
    <b:Author>
      <b:Author>
        <b:NameList>
          <b:Person>
            <b:Last>Kinstedt</b:Last>
            <b:First>Katherine</b:First>
          </b:Person>
        </b:NameList>
      </b:Author>
    </b:Author>
    <b:RefOrder>3</b:RefOrder>
  </b:Source>
</b:Sources>
</file>

<file path=customXml/itemProps1.xml><?xml version="1.0" encoding="utf-8"?>
<ds:datastoreItem xmlns:ds="http://schemas.openxmlformats.org/officeDocument/2006/customXml" ds:itemID="{5E06D7F0-B2A8-5F4C-A3D7-755E90613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2456</Words>
  <Characters>14001</Characters>
  <Application>Microsoft Macintosh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WEDC International Conference Paper</vt:lpstr>
    </vt:vector>
  </TitlesOfParts>
  <Manager/>
  <Company>Loughborough University</Company>
  <LinksUpToDate>false</LinksUpToDate>
  <CharactersWithSpaces>16425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WEDC International Conference Paper</dc:title>
  <dc:subject/>
  <dc:creator>Parvin Ngala</dc:creator>
  <cp:keywords/>
  <dc:description/>
  <cp:lastModifiedBy>claudia perlongo</cp:lastModifiedBy>
  <cp:revision>2</cp:revision>
  <cp:lastPrinted>2014-05-16T06:52:00Z</cp:lastPrinted>
  <dcterms:created xsi:type="dcterms:W3CDTF">2014-08-14T14:22:00Z</dcterms:created>
  <dcterms:modified xsi:type="dcterms:W3CDTF">2014-08-14T14:22:00Z</dcterms:modified>
  <cp:category/>
</cp:coreProperties>
</file>